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6F" w:rsidRDefault="00105F6F" w:rsidP="00105F6F">
      <w:pPr>
        <w:pStyle w:val="Seznam"/>
        <w:spacing w:line="276" w:lineRule="auto"/>
        <w:ind w:left="644" w:firstLine="0"/>
        <w:jc w:val="right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I</w:t>
      </w:r>
      <w:bookmarkStart w:id="0" w:name="_GoBack"/>
      <w:bookmarkEnd w:id="0"/>
      <w:r>
        <w:rPr>
          <w:rFonts w:ascii="Arial" w:hAnsi="Arial" w:cs="Arial"/>
          <w:b/>
          <w:szCs w:val="36"/>
        </w:rPr>
        <w:t>.</w:t>
      </w:r>
    </w:p>
    <w:p w:rsidR="00105F6F" w:rsidRPr="00105F6F" w:rsidRDefault="00105F6F" w:rsidP="00105F6F">
      <w:pPr>
        <w:pStyle w:val="Seznam"/>
        <w:spacing w:line="276" w:lineRule="auto"/>
        <w:ind w:left="644" w:firstLine="0"/>
        <w:jc w:val="right"/>
        <w:rPr>
          <w:rFonts w:ascii="Arial" w:hAnsi="Arial" w:cs="Arial"/>
          <w:b/>
          <w:szCs w:val="36"/>
        </w:rPr>
      </w:pPr>
    </w:p>
    <w:p w:rsidR="003A46E7" w:rsidRPr="003A46E7" w:rsidRDefault="003A46E7" w:rsidP="003A46E7">
      <w:pPr>
        <w:pStyle w:val="Seznam"/>
        <w:spacing w:line="276" w:lineRule="auto"/>
        <w:ind w:left="644"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A46E7">
        <w:rPr>
          <w:rFonts w:ascii="Arial" w:hAnsi="Arial" w:cs="Arial"/>
          <w:b/>
          <w:sz w:val="36"/>
          <w:szCs w:val="36"/>
          <w:u w:val="single"/>
        </w:rPr>
        <w:t>Analýza nabídky a poptávky na trhu práce</w:t>
      </w:r>
    </w:p>
    <w:p w:rsidR="003A46E7" w:rsidRDefault="003A46E7" w:rsidP="003A46E7">
      <w:pPr>
        <w:pStyle w:val="Seznam"/>
        <w:spacing w:line="276" w:lineRule="auto"/>
        <w:ind w:left="644" w:firstLine="0"/>
        <w:rPr>
          <w:rFonts w:ascii="Arial" w:hAnsi="Arial" w:cs="Arial"/>
          <w:b/>
          <w:sz w:val="28"/>
          <w:u w:val="single"/>
        </w:rPr>
      </w:pPr>
    </w:p>
    <w:p w:rsidR="00D808F8" w:rsidRDefault="009C5C6A" w:rsidP="00092E70">
      <w:pPr>
        <w:pStyle w:val="Seznam"/>
        <w:numPr>
          <w:ilvl w:val="0"/>
          <w:numId w:val="8"/>
        </w:num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Nabídka a poptávka na trhu práce</w:t>
      </w:r>
    </w:p>
    <w:p w:rsidR="009C5C6A" w:rsidRDefault="009C5C6A" w:rsidP="009C5C6A">
      <w:pPr>
        <w:pStyle w:val="Seznam"/>
        <w:spacing w:line="276" w:lineRule="auto"/>
        <w:rPr>
          <w:rFonts w:ascii="Arial" w:hAnsi="Arial" w:cs="Arial"/>
          <w:b/>
          <w:sz w:val="28"/>
          <w:u w:val="single"/>
        </w:rPr>
      </w:pPr>
    </w:p>
    <w:p w:rsidR="009C5C6A" w:rsidRPr="009C5C6A" w:rsidRDefault="009C5C6A" w:rsidP="009C5C6A">
      <w:pPr>
        <w:pStyle w:val="Seznam"/>
        <w:spacing w:line="276" w:lineRule="auto"/>
        <w:rPr>
          <w:rFonts w:ascii="Arial" w:hAnsi="Arial" w:cs="Arial"/>
          <w:b/>
        </w:rPr>
      </w:pPr>
      <w:r w:rsidRPr="009C5C6A">
        <w:rPr>
          <w:rFonts w:ascii="Arial" w:hAnsi="Arial" w:cs="Arial"/>
          <w:b/>
        </w:rPr>
        <w:t>1.1 Aktuální stav</w:t>
      </w:r>
    </w:p>
    <w:p w:rsidR="00D808F8" w:rsidRPr="00D808F8" w:rsidRDefault="00D808F8" w:rsidP="00D808F8">
      <w:pPr>
        <w:pStyle w:val="Seznam"/>
        <w:spacing w:line="360" w:lineRule="auto"/>
        <w:ind w:left="0" w:firstLine="708"/>
        <w:jc w:val="both"/>
        <w:rPr>
          <w:rFonts w:ascii="Arial" w:hAnsi="Arial" w:cs="Arial"/>
        </w:rPr>
      </w:pPr>
    </w:p>
    <w:p w:rsidR="00D808F8" w:rsidRPr="00D808F8" w:rsidRDefault="00D808F8" w:rsidP="00D808F8">
      <w:pPr>
        <w:pStyle w:val="Seznam"/>
        <w:spacing w:after="120"/>
        <w:ind w:left="0" w:firstLine="0"/>
        <w:jc w:val="both"/>
        <w:rPr>
          <w:rFonts w:ascii="Arial" w:hAnsi="Arial" w:cs="Arial"/>
        </w:rPr>
      </w:pPr>
      <w:r w:rsidRPr="00D808F8">
        <w:rPr>
          <w:rFonts w:ascii="Arial" w:hAnsi="Arial" w:cs="Arial"/>
        </w:rPr>
        <w:t>K 30. 9. 2015 bylo na pracovištích ÚP ČR evidováno 441,9 tis. uchazečů o zaměstnání (</w:t>
      </w:r>
      <w:proofErr w:type="spellStart"/>
      <w:r w:rsidRPr="00D808F8">
        <w:rPr>
          <w:rFonts w:ascii="Arial" w:hAnsi="Arial" w:cs="Arial"/>
        </w:rPr>
        <w:t>UoZ</w:t>
      </w:r>
      <w:proofErr w:type="spellEnd"/>
      <w:r w:rsidRPr="00D808F8">
        <w:rPr>
          <w:rFonts w:ascii="Arial" w:hAnsi="Arial" w:cs="Arial"/>
        </w:rPr>
        <w:t>), meziročně je jejich počet nižší o 87,2 tis., tj. o 16,5 %.</w:t>
      </w:r>
    </w:p>
    <w:p w:rsidR="00D808F8" w:rsidRPr="00D808F8" w:rsidRDefault="00D808F8" w:rsidP="00D808F8">
      <w:pPr>
        <w:pStyle w:val="Seznam"/>
        <w:spacing w:after="120"/>
        <w:ind w:left="0" w:firstLine="0"/>
        <w:jc w:val="both"/>
        <w:rPr>
          <w:rFonts w:ascii="Arial" w:hAnsi="Arial" w:cs="Arial"/>
        </w:rPr>
      </w:pPr>
      <w:r w:rsidRPr="00D808F8">
        <w:rPr>
          <w:rFonts w:ascii="Arial" w:hAnsi="Arial" w:cs="Arial"/>
        </w:rPr>
        <w:t xml:space="preserve">Počty volných pracovních míst (VPM) nahlášených na ÚP ČR se plynule zvyšují, ke konci září 2015 jich evidoval ÚP ČR již 108,6 tis., tj. téměř dvojnásobek počtu z konce září 2014 (56,6 tis.). </w:t>
      </w:r>
    </w:p>
    <w:p w:rsidR="00D808F8" w:rsidRDefault="00D808F8" w:rsidP="00D808F8">
      <w:pPr>
        <w:spacing w:after="120" w:line="240" w:lineRule="auto"/>
        <w:rPr>
          <w:rFonts w:cs="Arial"/>
          <w:szCs w:val="24"/>
        </w:rPr>
      </w:pPr>
      <w:r w:rsidRPr="00D808F8">
        <w:rPr>
          <w:rFonts w:cs="Arial"/>
          <w:szCs w:val="24"/>
        </w:rPr>
        <w:t>Vzhledem k výraznému nárůstu počtu hlášených VPM a poklesu počtu uchazečů o zaměstnání se převaha nabídky pracovní síly nad poptávkou po ní výrazně snížila. Na 1 volné pracovní místo připadalo v průměru 4,1 uchazečů o zaměstnání, zatímco na konci září 2014 to bylo 9,4 uchazečů.</w:t>
      </w:r>
    </w:p>
    <w:p w:rsidR="00D808F8" w:rsidRPr="00D808F8" w:rsidRDefault="00D808F8" w:rsidP="00D808F8">
      <w:pPr>
        <w:spacing w:after="120" w:line="240" w:lineRule="auto"/>
        <w:rPr>
          <w:rFonts w:cs="Arial"/>
          <w:szCs w:val="24"/>
        </w:rPr>
      </w:pPr>
      <w:r w:rsidRPr="00D808F8">
        <w:rPr>
          <w:rFonts w:cs="Arial"/>
          <w:szCs w:val="24"/>
        </w:rPr>
        <w:t xml:space="preserve"> </w:t>
      </w:r>
    </w:p>
    <w:tbl>
      <w:tblPr>
        <w:tblW w:w="8489" w:type="dxa"/>
        <w:jc w:val="center"/>
        <w:tblCellMar>
          <w:left w:w="70" w:type="dxa"/>
          <w:right w:w="70" w:type="dxa"/>
        </w:tblCellMar>
        <w:tblLook w:val="04A0"/>
      </w:tblPr>
      <w:tblGrid>
        <w:gridCol w:w="2569"/>
        <w:gridCol w:w="1480"/>
        <w:gridCol w:w="1480"/>
        <w:gridCol w:w="1480"/>
        <w:gridCol w:w="1480"/>
      </w:tblGrid>
      <w:tr w:rsidR="00D808F8" w:rsidRPr="00EC425E" w:rsidTr="00D808F8">
        <w:trPr>
          <w:trHeight w:val="510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Podíl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5E">
              <w:rPr>
                <w:rFonts w:cs="Arial"/>
                <w:color w:val="000000"/>
                <w:sz w:val="20"/>
                <w:szCs w:val="20"/>
              </w:rPr>
              <w:t>nezam</w:t>
            </w:r>
            <w:proofErr w:type="spellEnd"/>
            <w:r w:rsidRPr="00EC425E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C425E">
              <w:rPr>
                <w:rFonts w:cs="Arial"/>
                <w:color w:val="000000"/>
                <w:sz w:val="20"/>
                <w:szCs w:val="20"/>
              </w:rPr>
              <w:t>osob (%)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 xml:space="preserve">Počet </w:t>
            </w:r>
            <w:proofErr w:type="spellStart"/>
            <w:r w:rsidRPr="00EC425E">
              <w:rPr>
                <w:rFonts w:cs="Arial"/>
                <w:color w:val="000000"/>
                <w:sz w:val="20"/>
                <w:szCs w:val="20"/>
              </w:rPr>
              <w:t>UoZ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Počet VPM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 xml:space="preserve">Počet </w:t>
            </w:r>
            <w:proofErr w:type="spellStart"/>
            <w:r w:rsidRPr="00EC425E">
              <w:rPr>
                <w:rFonts w:cs="Arial"/>
                <w:color w:val="000000"/>
                <w:sz w:val="20"/>
                <w:szCs w:val="20"/>
              </w:rPr>
              <w:t>UoZ</w:t>
            </w:r>
            <w:proofErr w:type="spellEnd"/>
            <w:r w:rsidRPr="00EC425E">
              <w:rPr>
                <w:rFonts w:cs="Arial"/>
                <w:color w:val="000000"/>
                <w:sz w:val="20"/>
                <w:szCs w:val="20"/>
              </w:rPr>
              <w:t xml:space="preserve"> na </w:t>
            </w:r>
            <w:r w:rsidRPr="00EC425E">
              <w:rPr>
                <w:rFonts w:cs="Arial"/>
                <w:color w:val="000000"/>
                <w:sz w:val="20"/>
                <w:szCs w:val="20"/>
              </w:rPr>
              <w:br/>
              <w:t>1 VPM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Hl. m. Praha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39 165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13 208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Středočeský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47 854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13 550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3,5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Jihočeský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19 747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7 242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2,7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Plzeňský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17 720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8 150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2,2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Karlovarský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14 280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3 427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Ústecký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51 782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6 257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8,3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Liberecký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19 652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5 907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3,3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Královéhradecký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17 852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5 050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3,5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Pardubický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16 582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6 689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2,5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Kraj Vysočina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19 220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4 250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4,5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Jihomoravský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53 691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10 074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5,3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Olomoucký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29 612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6 519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4,5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Zlínský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22 822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6 053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3,8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Moravskoslezský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71 913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12 197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5,9</w:t>
            </w:r>
          </w:p>
        </w:tc>
      </w:tr>
      <w:tr w:rsidR="00D808F8" w:rsidRPr="00EC425E" w:rsidTr="00D808F8">
        <w:trPr>
          <w:trHeight w:val="300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ČR celkem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441 892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ind w:firstLineChars="300" w:firstLine="60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108 573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EC425E" w:rsidRDefault="00D808F8" w:rsidP="00D808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425E">
              <w:rPr>
                <w:rFonts w:cs="Arial"/>
                <w:color w:val="000000"/>
                <w:sz w:val="20"/>
                <w:szCs w:val="20"/>
              </w:rPr>
              <w:t>4,1</w:t>
            </w:r>
          </w:p>
        </w:tc>
      </w:tr>
    </w:tbl>
    <w:p w:rsidR="00D808F8" w:rsidRDefault="00D808F8" w:rsidP="00D808F8">
      <w:pPr>
        <w:spacing w:after="120" w:line="360" w:lineRule="auto"/>
        <w:ind w:firstLine="708"/>
        <w:rPr>
          <w:rFonts w:cs="Arial"/>
          <w:b/>
          <w:sz w:val="22"/>
        </w:rPr>
      </w:pPr>
    </w:p>
    <w:p w:rsidR="00D808F8" w:rsidRPr="00D808F8" w:rsidRDefault="00D808F8" w:rsidP="00D808F8">
      <w:pPr>
        <w:pStyle w:val="Seznam"/>
        <w:spacing w:after="120"/>
        <w:ind w:left="0" w:firstLine="0"/>
        <w:jc w:val="both"/>
        <w:rPr>
          <w:rFonts w:ascii="Arial" w:hAnsi="Arial" w:cs="Arial"/>
          <w:szCs w:val="22"/>
        </w:rPr>
      </w:pPr>
      <w:r w:rsidRPr="00D808F8">
        <w:rPr>
          <w:rFonts w:ascii="Arial" w:hAnsi="Arial" w:cs="Arial"/>
          <w:szCs w:val="22"/>
        </w:rPr>
        <w:t xml:space="preserve">Výrazně rostoucí počet neobsazených a nabízených volných míst tudíž začíná signalizovat, že další snižování nezaměstnanosti ovlivňují strukturální faktory (např. specifická kvalifikace pracovní síly v určitých regionech, nabídka volných míst v oblastech s nízkou nezaměstnanosti). </w:t>
      </w:r>
    </w:p>
    <w:p w:rsidR="00D808F8" w:rsidRPr="00D808F8" w:rsidRDefault="00D808F8" w:rsidP="00D808F8">
      <w:pPr>
        <w:pStyle w:val="Seznam"/>
        <w:spacing w:after="120"/>
        <w:ind w:left="0" w:firstLine="0"/>
        <w:jc w:val="both"/>
        <w:rPr>
          <w:rFonts w:ascii="Arial" w:hAnsi="Arial" w:cs="Arial"/>
          <w:szCs w:val="22"/>
        </w:rPr>
      </w:pPr>
      <w:r w:rsidRPr="00D808F8">
        <w:rPr>
          <w:rFonts w:ascii="Arial" w:hAnsi="Arial" w:cs="Arial"/>
          <w:szCs w:val="22"/>
        </w:rPr>
        <w:t>Z regionálního pohledu jsou na tom nejlépe Plzeňský, Pardubický, Jihočeský kraj a Hl. m. Praha, kde se poměr uchazečů o zaměstnání připadajících na 1 VPM pohybuje mezi 2,2 až 3,0.</w:t>
      </w:r>
    </w:p>
    <w:p w:rsidR="00D808F8" w:rsidRPr="00640397" w:rsidRDefault="00D808F8" w:rsidP="00D808F8">
      <w:pPr>
        <w:spacing w:after="120" w:line="360" w:lineRule="auto"/>
        <w:jc w:val="center"/>
        <w:rPr>
          <w:rFonts w:cs="Arial"/>
          <w:sz w:val="2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191125" cy="303847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08F8" w:rsidRPr="00D808F8" w:rsidRDefault="00D808F8" w:rsidP="00D808F8">
      <w:pPr>
        <w:pStyle w:val="Zkladntextodsazen"/>
        <w:ind w:left="0"/>
        <w:jc w:val="both"/>
        <w:rPr>
          <w:rFonts w:ascii="Arial" w:hAnsi="Arial" w:cs="Arial"/>
          <w:szCs w:val="22"/>
        </w:rPr>
      </w:pPr>
      <w:r w:rsidRPr="00D808F8">
        <w:rPr>
          <w:rFonts w:ascii="Arial" w:hAnsi="Arial" w:cs="Arial"/>
          <w:bCs/>
          <w:szCs w:val="22"/>
        </w:rPr>
        <w:t xml:space="preserve">Mezi okresy je na tom nejlépe okres Prachatice (1,3), Domažlice (1,5) a Pardubice (1,6), naopak </w:t>
      </w:r>
      <w:r w:rsidRPr="00D808F8">
        <w:rPr>
          <w:rFonts w:ascii="Arial" w:hAnsi="Arial" w:cs="Arial"/>
          <w:szCs w:val="22"/>
        </w:rPr>
        <w:t>nejhorší poměr je v okresech Bruntál (17,3), Ústí nad Labem (15,9), Karviná (14,0</w:t>
      </w:r>
      <w:r w:rsidRPr="00D808F8">
        <w:rPr>
          <w:rFonts w:ascii="Arial" w:hAnsi="Arial" w:cs="Arial"/>
          <w:bCs/>
          <w:szCs w:val="22"/>
        </w:rPr>
        <w:t xml:space="preserve"> uchazečů na jedno VPM</w:t>
      </w:r>
      <w:r w:rsidRPr="00D808F8">
        <w:rPr>
          <w:rFonts w:ascii="Arial" w:hAnsi="Arial" w:cs="Arial"/>
          <w:szCs w:val="22"/>
        </w:rPr>
        <w:t xml:space="preserve">). </w:t>
      </w:r>
    </w:p>
    <w:p w:rsidR="00D808F8" w:rsidRDefault="00D808F8" w:rsidP="00D808F8">
      <w:pPr>
        <w:pStyle w:val="Zkladntextodsazen"/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4076065"/>
            <wp:effectExtent l="0" t="0" r="0" b="635"/>
            <wp:docPr id="2" name="Obrázek 2" descr="C:\GIS\KOMPOZICE\AKTUALNI\MAPA UCH_na_VM 09_2015_ok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IS\KOMPOZICE\AKTUALNI\MAPA UCH_na_VM 09_2015_ok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F8" w:rsidRPr="00D808F8" w:rsidRDefault="00D808F8" w:rsidP="00D808F8">
      <w:pPr>
        <w:pStyle w:val="Zkladntextodsazen"/>
        <w:ind w:left="0"/>
        <w:jc w:val="both"/>
        <w:rPr>
          <w:rFonts w:ascii="Arial" w:hAnsi="Arial" w:cs="Arial"/>
          <w:bCs/>
          <w:szCs w:val="22"/>
        </w:rPr>
      </w:pPr>
      <w:r w:rsidRPr="00D808F8">
        <w:rPr>
          <w:rFonts w:ascii="Arial" w:hAnsi="Arial" w:cs="Arial"/>
          <w:bCs/>
          <w:szCs w:val="22"/>
        </w:rPr>
        <w:t xml:space="preserve">V nabídce volných pracovních míst v evidenci ÚP ČR tvoří největší podíl místa určená pro skupinu zaměstnání obsluhy strojů a zařízení, montéry (tř. 8) – 21,7 %, pro řemeslníky a opraváře (tř. 7) – 21,5 %, pro pomocné a nekvalifikované </w:t>
      </w:r>
      <w:r w:rsidRPr="00D808F8">
        <w:rPr>
          <w:rFonts w:ascii="Arial" w:hAnsi="Arial" w:cs="Arial"/>
          <w:bCs/>
          <w:szCs w:val="22"/>
        </w:rPr>
        <w:lastRenderedPageBreak/>
        <w:t xml:space="preserve">pracovníky (tř. 9) – 18,1 % a pro pracovníky ve službách a prodeji (tř. 5 klasifikace zaměstnání CZ-ISCO) – 16,2 %. </w:t>
      </w:r>
    </w:p>
    <w:p w:rsidR="00D808F8" w:rsidRPr="00D808F8" w:rsidRDefault="00D808F8" w:rsidP="00D808F8">
      <w:pPr>
        <w:pStyle w:val="Zkladntextodsazen"/>
        <w:ind w:left="0" w:firstLine="709"/>
        <w:jc w:val="both"/>
        <w:rPr>
          <w:rFonts w:ascii="Arial" w:hAnsi="Arial" w:cs="Arial"/>
          <w:bCs/>
          <w:szCs w:val="22"/>
        </w:rPr>
      </w:pPr>
      <w:r w:rsidRPr="00D808F8">
        <w:rPr>
          <w:rFonts w:ascii="Arial" w:hAnsi="Arial" w:cs="Arial"/>
          <w:bCs/>
          <w:szCs w:val="22"/>
        </w:rPr>
        <w:t xml:space="preserve">V nejpočetnějších skupinách zaměstnání, a to řemeslníci a opraváři, obsluha strojů a zařízení, je převis nabídky pracovní síly nad poptávkou ze strany zaměstnavatelů nízký (2,3, resp. 1,6 </w:t>
      </w:r>
      <w:proofErr w:type="spellStart"/>
      <w:r w:rsidRPr="00D808F8">
        <w:rPr>
          <w:rFonts w:ascii="Arial" w:hAnsi="Arial" w:cs="Arial"/>
          <w:bCs/>
          <w:szCs w:val="22"/>
        </w:rPr>
        <w:t>UoZ</w:t>
      </w:r>
      <w:proofErr w:type="spellEnd"/>
      <w:r w:rsidRPr="00D808F8">
        <w:rPr>
          <w:rFonts w:ascii="Arial" w:hAnsi="Arial" w:cs="Arial"/>
          <w:bCs/>
          <w:szCs w:val="22"/>
        </w:rPr>
        <w:t xml:space="preserve"> na VPM). </w:t>
      </w:r>
    </w:p>
    <w:p w:rsidR="00D808F8" w:rsidRPr="00885A56" w:rsidRDefault="00D808F8" w:rsidP="00D808F8">
      <w:pPr>
        <w:rPr>
          <w:rFonts w:ascii="Arial CE" w:hAnsi="Arial CE"/>
          <w:sz w:val="20"/>
          <w:szCs w:val="20"/>
        </w:rPr>
      </w:pPr>
      <w:r w:rsidRPr="00885A56">
        <w:rPr>
          <w:rFonts w:ascii="Arial CE" w:hAnsi="Arial CE"/>
          <w:sz w:val="20"/>
          <w:szCs w:val="20"/>
        </w:rPr>
        <w:t> </w:t>
      </w:r>
      <w:r>
        <w:rPr>
          <w:noProof/>
          <w:lang w:eastAsia="cs-CZ"/>
        </w:rPr>
        <w:drawing>
          <wp:inline distT="0" distB="0" distL="0" distR="0">
            <wp:extent cx="5762625" cy="315277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8F8" w:rsidRDefault="00D808F8" w:rsidP="00FE3F8B">
      <w:pPr>
        <w:pStyle w:val="Seznam"/>
        <w:spacing w:after="120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808F8" w:rsidRDefault="00D808F8" w:rsidP="00DF6843">
      <w:pPr>
        <w:pStyle w:val="Seznam"/>
        <w:ind w:left="0" w:firstLine="0"/>
        <w:jc w:val="both"/>
        <w:rPr>
          <w:rFonts w:ascii="Arial" w:hAnsi="Arial" w:cs="Arial"/>
          <w:szCs w:val="22"/>
        </w:rPr>
      </w:pPr>
      <w:r w:rsidRPr="00FE3F8B">
        <w:rPr>
          <w:rFonts w:ascii="Arial" w:hAnsi="Arial" w:cs="Arial"/>
          <w:szCs w:val="22"/>
        </w:rPr>
        <w:t xml:space="preserve">Níže uvedené tabulky poskytují podrobnější pohled nejvíce poptávaných zaměstnanců podle </w:t>
      </w:r>
      <w:r w:rsidRPr="00FE3F8B">
        <w:rPr>
          <w:rFonts w:ascii="Arial" w:hAnsi="Arial" w:cs="Arial"/>
          <w:b/>
          <w:szCs w:val="22"/>
        </w:rPr>
        <w:t>volných míst nahlášených zaměstnavateli</w:t>
      </w:r>
      <w:r w:rsidRPr="00FE3F8B">
        <w:rPr>
          <w:rFonts w:ascii="Arial" w:hAnsi="Arial" w:cs="Arial"/>
          <w:szCs w:val="22"/>
        </w:rPr>
        <w:t xml:space="preserve"> za celou ČR:</w:t>
      </w:r>
    </w:p>
    <w:p w:rsidR="00DF6843" w:rsidRDefault="00DF6843" w:rsidP="00DF6843">
      <w:pPr>
        <w:spacing w:line="240" w:lineRule="auto"/>
        <w:rPr>
          <w:rFonts w:cs="Arial"/>
          <w:b/>
        </w:rPr>
      </w:pPr>
    </w:p>
    <w:p w:rsidR="00DF6843" w:rsidRDefault="00DF6843" w:rsidP="00DF6843">
      <w:pPr>
        <w:spacing w:line="240" w:lineRule="auto"/>
        <w:rPr>
          <w:rFonts w:cs="Arial"/>
          <w:b/>
        </w:rPr>
      </w:pPr>
      <w:r w:rsidRPr="00073739">
        <w:rPr>
          <w:rFonts w:cs="Arial"/>
          <w:b/>
        </w:rPr>
        <w:t>Nejvíce poptávané profese k 30. 9. 2015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9"/>
        <w:gridCol w:w="5865"/>
        <w:gridCol w:w="851"/>
        <w:gridCol w:w="1153"/>
        <w:gridCol w:w="1134"/>
      </w:tblGrid>
      <w:tr w:rsidR="00DF6843" w:rsidRPr="0026050C" w:rsidTr="00AB77E3">
        <w:trPr>
          <w:trHeight w:val="8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CZ- ISCO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CZ ISCO - POPIS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VPM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eobsazená více než </w:t>
            </w:r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3 </w:t>
            </w:r>
            <w:proofErr w:type="spellStart"/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měs</w:t>
            </w:r>
            <w:proofErr w:type="spellEnd"/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v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43" w:rsidRPr="0026050C" w:rsidRDefault="00DF6843" w:rsidP="005B367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růměrné mzdy za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60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DF6843" w:rsidRPr="0026050C" w:rsidTr="00AB77E3">
        <w:trPr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932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Pomocní pracovníci ve výrobě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7 849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17 494</w:t>
            </w:r>
          </w:p>
        </w:tc>
      </w:tr>
      <w:tr w:rsidR="00DF6843" w:rsidRPr="0026050C" w:rsidTr="00AB77E3">
        <w:trPr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821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Montážní dělníci výrobků a zařízení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6 993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21 282</w:t>
            </w:r>
          </w:p>
        </w:tc>
      </w:tr>
      <w:tr w:rsidR="00DF6843" w:rsidRPr="0026050C" w:rsidTr="00AB77E3">
        <w:trPr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Kováři, nástrojaři a příbuzní pracovníci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24 845</w:t>
            </w:r>
          </w:p>
        </w:tc>
      </w:tr>
      <w:tr w:rsidR="00DF6843" w:rsidRPr="0026050C" w:rsidTr="00AB77E3">
        <w:trPr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833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Řidiči nákladních automobilů, autobusů a tramvají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6 046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58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21 526</w:t>
            </w:r>
          </w:p>
        </w:tc>
      </w:tr>
      <w:tr w:rsidR="00DF6843" w:rsidRPr="0026050C" w:rsidTr="00AB77E3">
        <w:trPr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541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Pracovníci v oblasti ochrany a ostrahy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14 293</w:t>
            </w:r>
          </w:p>
        </w:tc>
      </w:tr>
      <w:tr w:rsidR="00DF6843" w:rsidRPr="0026050C" w:rsidTr="00AB77E3">
        <w:trPr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834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Obsluha pojízdných zařízení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3 752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21 526</w:t>
            </w:r>
          </w:p>
        </w:tc>
      </w:tr>
      <w:tr w:rsidR="00DF6843" w:rsidRPr="0026050C" w:rsidTr="00AB77E3">
        <w:trPr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Slévači, svářeči a příbuzní pracovníci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24 845</w:t>
            </w:r>
          </w:p>
        </w:tc>
      </w:tr>
      <w:tr w:rsidR="00DF6843" w:rsidRPr="0026050C" w:rsidTr="00AB77E3">
        <w:trPr>
          <w:trHeight w:val="49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Provozovatelé maloobchodních a velkoobchodních prodejen, prodavači a příbuzní pracovníci v prodejnách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17 203</w:t>
            </w:r>
          </w:p>
        </w:tc>
      </w:tr>
      <w:tr w:rsidR="00DF6843" w:rsidRPr="0026050C" w:rsidTr="00AB77E3">
        <w:trPr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Řemeslníci a kvalifikovaní pracovníci hlavní stavební výroby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20 503</w:t>
            </w:r>
          </w:p>
        </w:tc>
      </w:tr>
      <w:tr w:rsidR="00DF6843" w:rsidRPr="0026050C" w:rsidTr="00AB77E3">
        <w:trPr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Kuchaři (kromě šéfkuchařů), pomocní kuchaři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26050C" w:rsidRDefault="00DF6843" w:rsidP="00AB77E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0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15 433</w:t>
            </w:r>
          </w:p>
        </w:tc>
      </w:tr>
    </w:tbl>
    <w:p w:rsidR="00DF6843" w:rsidRPr="003D6B0E" w:rsidRDefault="00DF6843" w:rsidP="00DF6843">
      <w:pPr>
        <w:spacing w:line="240" w:lineRule="auto"/>
        <w:rPr>
          <w:rFonts w:eastAsia="Times New Roman" w:cs="Arial"/>
          <w:i/>
          <w:iCs/>
          <w:color w:val="000000"/>
          <w:sz w:val="20"/>
          <w:szCs w:val="20"/>
          <w:lang w:eastAsia="cs-CZ"/>
        </w:rPr>
      </w:pPr>
      <w:r w:rsidRPr="003D6B0E">
        <w:rPr>
          <w:rFonts w:eastAsia="Times New Roman" w:cs="Arial"/>
          <w:i/>
          <w:iCs/>
          <w:color w:val="000000"/>
          <w:sz w:val="20"/>
          <w:szCs w:val="20"/>
          <w:lang w:eastAsia="cs-CZ"/>
        </w:rPr>
        <w:t>Pozn.:  Průměrné mzdy jsou uvedeny za 2místné CZ-ISCO</w:t>
      </w:r>
      <w:r>
        <w:rPr>
          <w:rFonts w:eastAsia="Times New Roman" w:cs="Arial"/>
          <w:i/>
          <w:iCs/>
          <w:color w:val="000000"/>
          <w:sz w:val="20"/>
          <w:szCs w:val="20"/>
          <w:lang w:eastAsia="cs-CZ"/>
        </w:rPr>
        <w:t xml:space="preserve"> (podnikatelská sféra)</w:t>
      </w:r>
    </w:p>
    <w:p w:rsidR="00DF6843" w:rsidRDefault="00DF6843" w:rsidP="00DF6843">
      <w:pPr>
        <w:rPr>
          <w:rFonts w:cs="Arial"/>
          <w:b/>
        </w:rPr>
      </w:pPr>
    </w:p>
    <w:p w:rsidR="00D808F8" w:rsidRDefault="00D808F8" w:rsidP="00FE3F8B">
      <w:pPr>
        <w:pStyle w:val="Seznam"/>
        <w:spacing w:after="120"/>
        <w:ind w:left="0" w:firstLine="0"/>
        <w:jc w:val="both"/>
        <w:rPr>
          <w:rFonts w:ascii="Arial" w:hAnsi="Arial" w:cs="Arial"/>
          <w:szCs w:val="22"/>
        </w:rPr>
      </w:pPr>
      <w:r w:rsidRPr="00FE3F8B">
        <w:rPr>
          <w:rFonts w:ascii="Arial" w:hAnsi="Arial" w:cs="Arial"/>
          <w:szCs w:val="22"/>
        </w:rPr>
        <w:t>Na druhé straně v evidenci ÚP ČR jsou početně nejvíce zastoupeni uchazeči o zaměstnání spadající do následujících skupin zaměstnání:</w:t>
      </w:r>
    </w:p>
    <w:p w:rsidR="00FE3F8B" w:rsidRPr="00FE3F8B" w:rsidRDefault="00FE3F8B" w:rsidP="00FE3F8B">
      <w:pPr>
        <w:pStyle w:val="Seznam"/>
        <w:spacing w:after="120"/>
        <w:ind w:left="0" w:firstLine="0"/>
        <w:jc w:val="both"/>
        <w:rPr>
          <w:rFonts w:ascii="Arial" w:hAnsi="Arial" w:cs="Arial"/>
          <w:szCs w:val="22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/>
      </w:tblPr>
      <w:tblGrid>
        <w:gridCol w:w="1140"/>
        <w:gridCol w:w="4620"/>
        <w:gridCol w:w="1420"/>
      </w:tblGrid>
      <w:tr w:rsidR="00D808F8" w:rsidRPr="004026C5" w:rsidTr="00D808F8">
        <w:trPr>
          <w:trHeight w:val="49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CZ- ISCO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CZ ISCO - POPIS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Počet </w:t>
            </w:r>
            <w:proofErr w:type="spellStart"/>
            <w:r w:rsidRPr="004026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UoZ</w:t>
            </w:r>
            <w:proofErr w:type="spellEnd"/>
          </w:p>
        </w:tc>
      </w:tr>
      <w:tr w:rsidR="00D808F8" w:rsidRPr="004026C5" w:rsidTr="00D808F8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Pomocní pracovníci ve výrobě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2C5F14" w:rsidRDefault="00D808F8" w:rsidP="00D808F8">
            <w:pPr>
              <w:ind w:right="259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37 468</w:t>
            </w:r>
          </w:p>
        </w:tc>
      </w:tr>
      <w:tr w:rsidR="00D808F8" w:rsidRPr="004026C5" w:rsidTr="00D808F8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2C5F14" w:rsidRDefault="00D808F8" w:rsidP="00D808F8">
            <w:pPr>
              <w:ind w:right="259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34 620</w:t>
            </w:r>
          </w:p>
        </w:tc>
      </w:tr>
      <w:tr w:rsidR="00D808F8" w:rsidRPr="004026C5" w:rsidTr="00D808F8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Všeobecní administrativní pracovníci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2C5F14" w:rsidRDefault="00D808F8" w:rsidP="00D808F8">
            <w:pPr>
              <w:ind w:right="259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32 234</w:t>
            </w:r>
          </w:p>
        </w:tc>
      </w:tr>
      <w:tr w:rsidR="00D808F8" w:rsidRPr="004026C5" w:rsidTr="00D808F8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2C5F14" w:rsidRDefault="00D808F8" w:rsidP="00D808F8">
            <w:pPr>
              <w:ind w:right="259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18 576</w:t>
            </w:r>
          </w:p>
        </w:tc>
      </w:tr>
      <w:tr w:rsidR="00D808F8" w:rsidRPr="004026C5" w:rsidTr="00D808F8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Pracovníci v oblasti ochrany a ostrahy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2C5F14" w:rsidRDefault="00D808F8" w:rsidP="00D808F8">
            <w:pPr>
              <w:ind w:right="259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14 994</w:t>
            </w:r>
          </w:p>
        </w:tc>
      </w:tr>
      <w:tr w:rsidR="00D808F8" w:rsidRPr="004026C5" w:rsidTr="00D808F8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2C5F14" w:rsidRDefault="00D808F8" w:rsidP="00D808F8">
            <w:pPr>
              <w:ind w:right="259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14 102</w:t>
            </w:r>
          </w:p>
        </w:tc>
      </w:tr>
      <w:tr w:rsidR="00D808F8" w:rsidRPr="004026C5" w:rsidTr="00D808F8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2C5F14" w:rsidRDefault="00D808F8" w:rsidP="00D808F8">
            <w:pPr>
              <w:ind w:right="259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13 050</w:t>
            </w:r>
          </w:p>
        </w:tc>
      </w:tr>
      <w:tr w:rsidR="00D808F8" w:rsidRPr="004026C5" w:rsidTr="00D808F8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Číšníci, servírky a barmani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2C5F14" w:rsidRDefault="00D808F8" w:rsidP="00D808F8">
            <w:pPr>
              <w:ind w:right="259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12 277</w:t>
            </w:r>
          </w:p>
        </w:tc>
      </w:tr>
      <w:tr w:rsidR="00D808F8" w:rsidRPr="004026C5" w:rsidTr="00D808F8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2C5F14" w:rsidRDefault="00D808F8" w:rsidP="00D808F8">
            <w:pPr>
              <w:ind w:right="259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11 453</w:t>
            </w:r>
          </w:p>
        </w:tc>
      </w:tr>
      <w:tr w:rsidR="00D808F8" w:rsidRPr="004026C5" w:rsidTr="00D808F8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026C5" w:rsidRDefault="00D808F8" w:rsidP="00D808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8F8" w:rsidRPr="004026C5" w:rsidRDefault="00D808F8" w:rsidP="00D80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26C5">
              <w:rPr>
                <w:rFonts w:ascii="Calibri" w:hAnsi="Calibri"/>
                <w:color w:val="000000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2C5F14" w:rsidRDefault="00D808F8" w:rsidP="00D808F8">
            <w:pPr>
              <w:ind w:right="259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C5F14">
              <w:rPr>
                <w:rFonts w:ascii="Calibri" w:hAnsi="Calibri"/>
                <w:color w:val="000000"/>
                <w:sz w:val="20"/>
                <w:szCs w:val="20"/>
              </w:rPr>
              <w:t>442</w:t>
            </w:r>
          </w:p>
        </w:tc>
      </w:tr>
    </w:tbl>
    <w:p w:rsidR="00D808F8" w:rsidRDefault="00D808F8" w:rsidP="00D808F8">
      <w:pPr>
        <w:spacing w:line="360" w:lineRule="auto"/>
        <w:ind w:firstLine="567"/>
        <w:rPr>
          <w:rFonts w:cs="Arial"/>
          <w:iCs/>
          <w:sz w:val="22"/>
        </w:rPr>
      </w:pPr>
    </w:p>
    <w:p w:rsidR="00D808F8" w:rsidRPr="00FE3F8B" w:rsidRDefault="00D808F8" w:rsidP="00FE3F8B">
      <w:pPr>
        <w:spacing w:line="240" w:lineRule="auto"/>
        <w:rPr>
          <w:rFonts w:cs="Arial"/>
        </w:rPr>
      </w:pPr>
      <w:r w:rsidRPr="00FE3F8B">
        <w:rPr>
          <w:rFonts w:cs="Arial"/>
          <w:iCs/>
        </w:rPr>
        <w:t xml:space="preserve">Významnou roli v umísťování uchazečů o zaměstnání nebo obsahování volných pracovních míst sehrává i fakt, že mezi evidovanými uchazeči o zaměstnání je vysoký podíl těch, kteří jsou znevýhodněni při hledání pracovního uplatnění zejména kvůli </w:t>
      </w:r>
      <w:r w:rsidRPr="00FE3F8B">
        <w:rPr>
          <w:rFonts w:cs="Arial"/>
        </w:rPr>
        <w:t xml:space="preserve">jejich zdravotnímu stavu, věku či péči o dítě. U nich existuje důvodný předpoklad delšího setrvání v evidenci uchazečů o zaměstnání i z důvodu nezájmu zaměstnavatelů: </w:t>
      </w:r>
    </w:p>
    <w:p w:rsidR="00D808F8" w:rsidRDefault="00D808F8" w:rsidP="00D808F8">
      <w:pPr>
        <w:spacing w:line="360" w:lineRule="auto"/>
        <w:ind w:firstLine="567"/>
        <w:rPr>
          <w:rFonts w:cs="Arial"/>
          <w:sz w:val="22"/>
        </w:rPr>
      </w:pPr>
    </w:p>
    <w:tbl>
      <w:tblPr>
        <w:tblW w:w="9408" w:type="dxa"/>
        <w:tblCellMar>
          <w:left w:w="70" w:type="dxa"/>
          <w:right w:w="70" w:type="dxa"/>
        </w:tblCellMar>
        <w:tblLook w:val="04A0"/>
      </w:tblPr>
      <w:tblGrid>
        <w:gridCol w:w="1941"/>
        <w:gridCol w:w="909"/>
        <w:gridCol w:w="908"/>
        <w:gridCol w:w="965"/>
        <w:gridCol w:w="908"/>
        <w:gridCol w:w="908"/>
        <w:gridCol w:w="908"/>
        <w:gridCol w:w="1053"/>
        <w:gridCol w:w="908"/>
      </w:tblGrid>
      <w:tr w:rsidR="00D808F8" w:rsidRPr="004A19C1" w:rsidTr="00D808F8">
        <w:trPr>
          <w:trHeight w:val="25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19C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19C1">
              <w:rPr>
                <w:rFonts w:cs="Arial"/>
                <w:b/>
                <w:bCs/>
                <w:sz w:val="16"/>
                <w:szCs w:val="16"/>
              </w:rPr>
              <w:t xml:space="preserve">Podíly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vybraných skupin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UoZ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4A19C1">
              <w:rPr>
                <w:rFonts w:cs="Arial"/>
                <w:b/>
                <w:bCs/>
                <w:sz w:val="16"/>
                <w:szCs w:val="16"/>
              </w:rPr>
              <w:t>na celkovém počtu (v%)</w:t>
            </w:r>
          </w:p>
        </w:tc>
      </w:tr>
      <w:tr w:rsidR="00D808F8" w:rsidRPr="004A19C1" w:rsidTr="00D808F8">
        <w:trPr>
          <w:trHeight w:val="675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19C1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4A19C1" w:rsidRDefault="00D808F8" w:rsidP="00D808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19C1">
              <w:rPr>
                <w:rFonts w:cs="Arial"/>
                <w:b/>
                <w:bCs/>
                <w:sz w:val="16"/>
                <w:szCs w:val="16"/>
              </w:rPr>
              <w:t>OZP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4A19C1" w:rsidRDefault="00D808F8" w:rsidP="00D808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19C1">
              <w:rPr>
                <w:rFonts w:cs="Arial"/>
                <w:b/>
                <w:bCs/>
                <w:sz w:val="16"/>
                <w:szCs w:val="16"/>
              </w:rPr>
              <w:t xml:space="preserve">osoby </w:t>
            </w:r>
            <w:r>
              <w:rPr>
                <w:rFonts w:cs="Arial"/>
                <w:b/>
                <w:bCs/>
                <w:sz w:val="16"/>
                <w:szCs w:val="16"/>
              </w:rPr>
              <w:t>pečující o děti do 15 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19C1">
              <w:rPr>
                <w:rFonts w:cs="Arial"/>
                <w:b/>
                <w:bCs/>
                <w:sz w:val="16"/>
                <w:szCs w:val="16"/>
              </w:rPr>
              <w:t>osoby po MD/RD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19C1">
              <w:rPr>
                <w:rFonts w:cs="Arial"/>
                <w:b/>
                <w:bCs/>
                <w:sz w:val="16"/>
                <w:szCs w:val="16"/>
              </w:rPr>
              <w:t>do 25 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4A19C1" w:rsidRDefault="00D808F8" w:rsidP="00D808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19C1">
              <w:rPr>
                <w:rFonts w:cs="Arial"/>
                <w:b/>
                <w:bCs/>
                <w:sz w:val="16"/>
                <w:szCs w:val="16"/>
              </w:rPr>
              <w:t>nad 50 let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4A19C1" w:rsidRDefault="00D808F8" w:rsidP="00D808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19C1">
              <w:rPr>
                <w:rFonts w:cs="Arial"/>
                <w:b/>
                <w:bCs/>
                <w:sz w:val="16"/>
                <w:szCs w:val="16"/>
              </w:rPr>
              <w:t xml:space="preserve">bez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vzděl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. nebo se </w:t>
            </w:r>
            <w:r w:rsidRPr="004A19C1">
              <w:rPr>
                <w:rFonts w:cs="Arial"/>
                <w:b/>
                <w:bCs/>
                <w:sz w:val="16"/>
                <w:szCs w:val="16"/>
              </w:rPr>
              <w:t>základní</w:t>
            </w:r>
            <w:r>
              <w:rPr>
                <w:rFonts w:cs="Arial"/>
                <w:b/>
                <w:bCs/>
                <w:sz w:val="16"/>
                <w:szCs w:val="16"/>
              </w:rPr>
              <w:t>m</w:t>
            </w:r>
            <w:r w:rsidRPr="004A19C1">
              <w:rPr>
                <w:rFonts w:cs="Arial"/>
                <w:b/>
                <w:bCs/>
                <w:sz w:val="16"/>
                <w:szCs w:val="16"/>
              </w:rPr>
              <w:br/>
              <w:t>vzdělání</w:t>
            </w:r>
            <w:r>
              <w:rPr>
                <w:rFonts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F8" w:rsidRPr="004A19C1" w:rsidRDefault="00D808F8" w:rsidP="00D808F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evidence </w:t>
            </w:r>
            <w:r w:rsidRPr="004A19C1">
              <w:rPr>
                <w:rFonts w:cs="Arial"/>
                <w:b/>
                <w:bCs/>
                <w:sz w:val="16"/>
                <w:szCs w:val="16"/>
              </w:rPr>
              <w:t>nad 12 měsíců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A19C1">
              <w:rPr>
                <w:rFonts w:cs="Arial"/>
                <w:b/>
                <w:bCs/>
                <w:sz w:val="16"/>
                <w:szCs w:val="16"/>
              </w:rPr>
              <w:t>Celkem ČR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356094" w:rsidRDefault="00D808F8" w:rsidP="00D808F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56094">
              <w:rPr>
                <w:rFonts w:cs="Arial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356094" w:rsidRDefault="00D808F8" w:rsidP="00D808F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56094">
              <w:rPr>
                <w:rFonts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356094" w:rsidRDefault="00D808F8" w:rsidP="00D808F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56094">
              <w:rPr>
                <w:rFonts w:cs="Arial"/>
                <w:b/>
                <w:sz w:val="16"/>
                <w:szCs w:val="16"/>
              </w:rPr>
              <w:t>12,4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356094" w:rsidRDefault="00D808F8" w:rsidP="00D808F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56094">
              <w:rPr>
                <w:rFonts w:cs="Arial"/>
                <w:b/>
                <w:sz w:val="16"/>
                <w:szCs w:val="16"/>
              </w:rPr>
              <w:t>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356094" w:rsidRDefault="00D808F8" w:rsidP="00D808F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56094">
              <w:rPr>
                <w:rFonts w:cs="Arial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356094" w:rsidRDefault="00D808F8" w:rsidP="00D808F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56094">
              <w:rPr>
                <w:rFonts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356094" w:rsidRDefault="00D808F8" w:rsidP="00D808F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56094">
              <w:rPr>
                <w:rFonts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F8" w:rsidRPr="00356094" w:rsidRDefault="00D808F8" w:rsidP="00D808F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56094">
              <w:rPr>
                <w:rFonts w:cs="Arial"/>
                <w:b/>
                <w:bCs/>
                <w:sz w:val="16"/>
                <w:szCs w:val="16"/>
              </w:rPr>
              <w:t>45,0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Hl.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19C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19C1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52,7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38,4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Středočeský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54,4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42,4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Jihočeský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55,4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14,2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30,8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36,0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Plzeňský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55,7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39,9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Karlovarský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50,4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19,4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48,2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50,1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Ústecký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52,1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44,6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51,5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Liberecký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55,5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42,4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Královéhradecký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53,5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38,4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Pardubický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54,5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37,9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Kraj Vysočina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55,4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31,3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44,9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Jihomoravský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53,2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24,3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46,0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Olomoucký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52,5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47,4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Zlínský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53,3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41,3</w:t>
            </w:r>
          </w:p>
        </w:tc>
      </w:tr>
      <w:tr w:rsidR="00D808F8" w:rsidRPr="004A19C1" w:rsidTr="00D808F8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4A19C1" w:rsidRDefault="00D808F8" w:rsidP="00D808F8">
            <w:pPr>
              <w:rPr>
                <w:rFonts w:cs="Arial"/>
                <w:sz w:val="16"/>
                <w:szCs w:val="16"/>
              </w:rPr>
            </w:pPr>
            <w:r w:rsidRPr="004A19C1">
              <w:rPr>
                <w:rFonts w:cs="Arial"/>
                <w:sz w:val="16"/>
                <w:szCs w:val="16"/>
              </w:rPr>
              <w:t>Moravskoslezský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31,8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F8" w:rsidRPr="00B3290A" w:rsidRDefault="00D808F8" w:rsidP="00D808F8">
            <w:pPr>
              <w:jc w:val="right"/>
              <w:rPr>
                <w:rFonts w:cs="Arial"/>
                <w:sz w:val="16"/>
                <w:szCs w:val="16"/>
              </w:rPr>
            </w:pPr>
            <w:r w:rsidRPr="00B3290A">
              <w:rPr>
                <w:rFonts w:cs="Arial"/>
                <w:sz w:val="16"/>
                <w:szCs w:val="16"/>
              </w:rPr>
              <w:t>51,9</w:t>
            </w:r>
          </w:p>
        </w:tc>
      </w:tr>
    </w:tbl>
    <w:p w:rsidR="00D808F8" w:rsidRDefault="00D808F8" w:rsidP="00D808F8">
      <w:pPr>
        <w:spacing w:line="360" w:lineRule="auto"/>
        <w:ind w:firstLine="567"/>
        <w:rPr>
          <w:rFonts w:cs="Arial"/>
          <w:sz w:val="22"/>
        </w:rPr>
      </w:pPr>
    </w:p>
    <w:p w:rsidR="00182B6B" w:rsidRPr="00BC7391" w:rsidRDefault="009C5C6A" w:rsidP="00BC7391">
      <w:pPr>
        <w:spacing w:after="200"/>
        <w:jc w:val="left"/>
      </w:pPr>
      <w:r>
        <w:br w:type="page"/>
      </w:r>
      <w:r w:rsidR="00182B6B" w:rsidRPr="00182B6B">
        <w:rPr>
          <w:b/>
        </w:rPr>
        <w:lastRenderedPageBreak/>
        <w:t>1.2 Mezinárodní srovnání</w:t>
      </w:r>
    </w:p>
    <w:p w:rsidR="00EA569E" w:rsidRDefault="0017476D" w:rsidP="0017476D">
      <w:pPr>
        <w:spacing w:before="120" w:line="240" w:lineRule="auto"/>
      </w:pPr>
      <w:r>
        <w:t xml:space="preserve">Oproti jiným zemím Evropské unie vykazuje Česká republika vyšší zastoupení </w:t>
      </w:r>
      <w:r w:rsidR="00FB49B8">
        <w:t>sekundárního sektoru</w:t>
      </w:r>
      <w:r>
        <w:t xml:space="preserve"> na zaměstnanosti. </w:t>
      </w:r>
      <w:r w:rsidR="00EA569E" w:rsidRPr="00F832F0">
        <w:rPr>
          <w:rFonts w:cs="Arial"/>
        </w:rPr>
        <w:t>Ve </w:t>
      </w:r>
      <w:r w:rsidR="00EA569E" w:rsidRPr="00752908">
        <w:rPr>
          <w:rFonts w:cs="Arial"/>
        </w:rPr>
        <w:t>2.</w:t>
      </w:r>
      <w:r w:rsidR="00EA569E" w:rsidRPr="00CF3B12">
        <w:rPr>
          <w:rFonts w:cs="Arial"/>
          <w:b/>
        </w:rPr>
        <w:t> </w:t>
      </w:r>
      <w:r w:rsidR="00EA569E" w:rsidRPr="000E1A9A">
        <w:rPr>
          <w:rFonts w:cs="Arial"/>
        </w:rPr>
        <w:t>čtvrtletí 2015</w:t>
      </w:r>
      <w:r w:rsidR="00EA569E" w:rsidRPr="000E1A9A">
        <w:rPr>
          <w:rFonts w:cs="Arial"/>
          <w:b/>
        </w:rPr>
        <w:t xml:space="preserve"> </w:t>
      </w:r>
      <w:r w:rsidR="00EA569E" w:rsidRPr="00F832F0">
        <w:rPr>
          <w:rFonts w:cs="Arial"/>
        </w:rPr>
        <w:t>dosahovala v </w:t>
      </w:r>
      <w:r w:rsidR="00EA569E" w:rsidRPr="00F832F0">
        <w:rPr>
          <w:rFonts w:cs="Arial"/>
          <w:b/>
        </w:rPr>
        <w:t>ČR</w:t>
      </w:r>
      <w:r w:rsidR="00EA569E" w:rsidRPr="00F832F0">
        <w:rPr>
          <w:rFonts w:cs="Arial"/>
        </w:rPr>
        <w:t xml:space="preserve"> hodnota podílu sekundárního sektoru na zaměstnanosti </w:t>
      </w:r>
      <w:r w:rsidR="00EA569E" w:rsidRPr="00B16349">
        <w:rPr>
          <w:rFonts w:cs="Arial"/>
          <w:b/>
        </w:rPr>
        <w:t>36,9 %</w:t>
      </w:r>
      <w:r w:rsidR="00EA569E" w:rsidRPr="00B16349">
        <w:rPr>
          <w:rFonts w:cs="Arial"/>
        </w:rPr>
        <w:t xml:space="preserve">, </w:t>
      </w:r>
      <w:r w:rsidR="00EA569E" w:rsidRPr="001E50AA">
        <w:rPr>
          <w:rFonts w:cs="Arial"/>
        </w:rPr>
        <w:t xml:space="preserve">což je </w:t>
      </w:r>
      <w:r w:rsidR="00EA569E" w:rsidRPr="001E50AA">
        <w:rPr>
          <w:rFonts w:cs="Arial"/>
          <w:b/>
        </w:rPr>
        <w:t>nejvíce v rámci EU 28</w:t>
      </w:r>
      <w:r w:rsidR="00EA569E" w:rsidRPr="001E50AA">
        <w:rPr>
          <w:rFonts w:cs="Arial"/>
        </w:rPr>
        <w:t>, před Slovenskem a Estonskem, kde se hodnota tohoto ukazatele pohybovala nad 30,0 %</w:t>
      </w:r>
      <w:r w:rsidR="00EA569E">
        <w:rPr>
          <w:rFonts w:cs="Arial"/>
        </w:rPr>
        <w:t xml:space="preserve">. Průměr EU činil ve stejném období 21,7 %. </w:t>
      </w:r>
      <w:r>
        <w:t xml:space="preserve">Vysoké zastoupení průmyslové výroby, zejména zpracovatelského průmyslu, je pro Českou republiku </w:t>
      </w:r>
      <w:r w:rsidR="00AA7A14">
        <w:t>z</w:t>
      </w:r>
      <w:r>
        <w:t xml:space="preserve"> dlouhodobého hlediska typické. Tento charakter českého hospodářství se pak na trhu práce projevuje významnou poptávkou jak po kvalifikované pracovní síle v technických oborech, tak rovněž po pomocných výrobních pracovnících. Porovnáme-li situaci vývoje zaměstnanosti a nezaměstnanosti v České republice s ostatními státy EU, kdy Česká republika </w:t>
      </w:r>
      <w:r w:rsidR="008D2452">
        <w:t>vykazuje</w:t>
      </w:r>
      <w:r>
        <w:t xml:space="preserve"> dlouhodobě, a to i </w:t>
      </w:r>
      <w:r w:rsidR="008D2452">
        <w:t xml:space="preserve">v </w:t>
      </w:r>
      <w:r>
        <w:t xml:space="preserve">krizových </w:t>
      </w:r>
      <w:r w:rsidR="008D2452">
        <w:t>letech</w:t>
      </w:r>
      <w:r>
        <w:t>,</w:t>
      </w:r>
      <w:r w:rsidR="008D2452">
        <w:t xml:space="preserve"> jednu z nejnižších měr nezaměstnanosti</w:t>
      </w:r>
      <w:r w:rsidR="00BA4913">
        <w:t>, ukazuje se, že vysoké zastoupení sekund</w:t>
      </w:r>
      <w:r w:rsidR="00FB49B8">
        <w:t>árního sektoru</w:t>
      </w:r>
      <w:r w:rsidR="00BA4913">
        <w:t xml:space="preserve"> na zaměstnanosti se pozitivně projevuje ve stabilizaci trhu práce a v jeho schopnosti pružně reagovat na hospodářské oživení, projevující se právě primárně ve zpracovatelském průmyslu.</w:t>
      </w:r>
    </w:p>
    <w:p w:rsidR="00EA569E" w:rsidRPr="0017476D" w:rsidRDefault="00EA569E" w:rsidP="0017476D">
      <w:pPr>
        <w:spacing w:before="120" w:line="240" w:lineRule="auto"/>
      </w:pPr>
      <w:r w:rsidRPr="00146859">
        <w:rPr>
          <w:noProof/>
          <w:lang w:eastAsia="cs-CZ"/>
        </w:rPr>
        <w:drawing>
          <wp:inline distT="0" distB="0" distL="0" distR="0">
            <wp:extent cx="2619375" cy="1981200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52725" cy="1990725"/>
            <wp:effectExtent l="0" t="0" r="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569E" w:rsidRDefault="00EA569E" w:rsidP="0017476D">
      <w:pPr>
        <w:spacing w:before="120" w:line="240" w:lineRule="auto"/>
        <w:rPr>
          <w:b/>
        </w:rPr>
      </w:pPr>
    </w:p>
    <w:p w:rsidR="00DF6843" w:rsidRPr="002F4BD8" w:rsidRDefault="00DF6843" w:rsidP="00DF6843">
      <w:pPr>
        <w:rPr>
          <w:rFonts w:cs="Arial"/>
          <w:b/>
        </w:rPr>
      </w:pPr>
      <w:r w:rsidRPr="002F4BD8">
        <w:rPr>
          <w:rFonts w:cs="Arial"/>
          <w:b/>
        </w:rPr>
        <w:t>Míra volných míst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0"/>
        <w:gridCol w:w="960"/>
        <w:gridCol w:w="960"/>
        <w:gridCol w:w="960"/>
        <w:gridCol w:w="960"/>
        <w:gridCol w:w="960"/>
        <w:gridCol w:w="960"/>
        <w:gridCol w:w="1010"/>
      </w:tblGrid>
      <w:tr w:rsidR="00DF6843" w:rsidRPr="002F4BD8" w:rsidTr="00AB77E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2F4BD8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4B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2F4BD8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2F4B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2F4BD8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2F4B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2F4BD8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2F4B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2F4BD8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2F4B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2F4BD8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2F4B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2F4BD8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2F4B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843" w:rsidRPr="002F4BD8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2F4B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2. čtvrtletí 2015</w:t>
            </w:r>
          </w:p>
        </w:tc>
      </w:tr>
      <w:tr w:rsidR="00DF6843" w:rsidRPr="002F4BD8" w:rsidTr="00AB77E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4B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EU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1,7</w:t>
            </w:r>
          </w:p>
        </w:tc>
      </w:tr>
      <w:tr w:rsidR="00DF6843" w:rsidRPr="002F4BD8" w:rsidTr="00AB77E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4B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2F4BD8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F4BD8">
              <w:rPr>
                <w:rFonts w:eastAsia="Times New Roman" w:cs="Arial"/>
                <w:sz w:val="20"/>
                <w:szCs w:val="20"/>
                <w:lang w:eastAsia="cs-CZ"/>
              </w:rPr>
              <w:t>2,3</w:t>
            </w:r>
          </w:p>
        </w:tc>
      </w:tr>
    </w:tbl>
    <w:p w:rsidR="00DF6843" w:rsidRPr="00DF6843" w:rsidRDefault="00DF6843" w:rsidP="00DF6843">
      <w:pPr>
        <w:rPr>
          <w:sz w:val="22"/>
        </w:rPr>
      </w:pPr>
      <w:r w:rsidRPr="00DF6843">
        <w:rPr>
          <w:sz w:val="22"/>
        </w:rPr>
        <w:t>Zdroj: EUROSTAT</w:t>
      </w:r>
    </w:p>
    <w:p w:rsidR="00DF6843" w:rsidRDefault="00DF6843" w:rsidP="00DF6843">
      <w:pPr>
        <w:spacing w:line="240" w:lineRule="auto"/>
        <w:rPr>
          <w:rFonts w:cs="Arial"/>
          <w:i/>
          <w:sz w:val="20"/>
          <w:szCs w:val="20"/>
        </w:rPr>
      </w:pPr>
      <w:r w:rsidRPr="003D6B0E">
        <w:rPr>
          <w:rFonts w:cs="Arial"/>
          <w:i/>
          <w:sz w:val="20"/>
          <w:szCs w:val="20"/>
        </w:rPr>
        <w:t>Pozn.</w:t>
      </w:r>
      <w:r>
        <w:rPr>
          <w:rFonts w:cs="Arial"/>
          <w:i/>
          <w:sz w:val="20"/>
          <w:szCs w:val="20"/>
        </w:rPr>
        <w:t> 1</w:t>
      </w:r>
      <w:r w:rsidRPr="003D6B0E">
        <w:rPr>
          <w:rFonts w:cs="Arial"/>
          <w:i/>
          <w:sz w:val="20"/>
          <w:szCs w:val="20"/>
        </w:rPr>
        <w:t>:</w:t>
      </w:r>
      <w:r w:rsidRPr="008120E8">
        <w:rPr>
          <w:rFonts w:cs="Arial"/>
        </w:rPr>
        <w:t xml:space="preserve"> </w:t>
      </w:r>
      <w:r w:rsidRPr="008120E8">
        <w:rPr>
          <w:rFonts w:cs="Arial"/>
          <w:i/>
          <w:sz w:val="20"/>
          <w:szCs w:val="20"/>
        </w:rPr>
        <w:t>Míra volných míst je počítána jako</w:t>
      </w:r>
      <w:r>
        <w:rPr>
          <w:rFonts w:cs="Arial"/>
        </w:rPr>
        <w:t xml:space="preserve"> </w:t>
      </w:r>
      <w:r w:rsidRPr="008120E8">
        <w:rPr>
          <w:rFonts w:cs="Arial"/>
          <w:i/>
          <w:sz w:val="20"/>
          <w:szCs w:val="20"/>
        </w:rPr>
        <w:t>procentní podíl volných míst k součtu volných a obsazených míst</w:t>
      </w:r>
    </w:p>
    <w:p w:rsidR="00DF6843" w:rsidRDefault="00DF6843" w:rsidP="00DF6843">
      <w:pPr>
        <w:spacing w:line="240" w:lineRule="auto"/>
      </w:pPr>
      <w:r w:rsidRPr="003D6B0E">
        <w:rPr>
          <w:rFonts w:cs="Arial"/>
          <w:i/>
          <w:sz w:val="20"/>
          <w:szCs w:val="20"/>
        </w:rPr>
        <w:t>Pozn.</w:t>
      </w:r>
      <w:r>
        <w:rPr>
          <w:rFonts w:cs="Arial"/>
          <w:i/>
          <w:sz w:val="20"/>
          <w:szCs w:val="20"/>
        </w:rPr>
        <w:t> 2</w:t>
      </w:r>
      <w:r w:rsidRPr="003D6B0E">
        <w:rPr>
          <w:rFonts w:cs="Arial"/>
          <w:i/>
          <w:sz w:val="20"/>
          <w:szCs w:val="20"/>
        </w:rPr>
        <w:t>:</w:t>
      </w:r>
      <w:r w:rsidRPr="006A5DC2">
        <w:rPr>
          <w:rFonts w:cs="Arial"/>
          <w:i/>
          <w:sz w:val="20"/>
          <w:szCs w:val="20"/>
        </w:rPr>
        <w:t xml:space="preserve"> Průměr EU 28 vykazuje EUROSTAT pouze bez zahrnutí primárního sektoru</w:t>
      </w:r>
      <w:r>
        <w:rPr>
          <w:rFonts w:cs="Arial"/>
          <w:i/>
          <w:sz w:val="20"/>
          <w:szCs w:val="20"/>
        </w:rPr>
        <w:t>.</w:t>
      </w:r>
    </w:p>
    <w:p w:rsidR="00DF6843" w:rsidRDefault="00DF6843" w:rsidP="00DF6843">
      <w:pPr>
        <w:rPr>
          <w:rFonts w:cs="Arial"/>
          <w:b/>
        </w:rPr>
      </w:pPr>
    </w:p>
    <w:p w:rsidR="00DF6843" w:rsidRPr="00060AB3" w:rsidRDefault="00DF6843" w:rsidP="00DF6843">
      <w:pPr>
        <w:rPr>
          <w:rFonts w:cs="Arial"/>
          <w:b/>
        </w:rPr>
      </w:pPr>
      <w:r w:rsidRPr="00060AB3">
        <w:rPr>
          <w:rFonts w:cs="Arial"/>
          <w:b/>
        </w:rPr>
        <w:t>Počet nezaměstnaných (v tis.)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1091"/>
      </w:tblGrid>
      <w:tr w:rsidR="00DF6843" w:rsidRPr="00060AB3" w:rsidTr="00AB77E3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060AB3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843" w:rsidRPr="00060AB3" w:rsidRDefault="00DF6843" w:rsidP="00AB77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2. čtvrtletí 2015</w:t>
            </w:r>
          </w:p>
        </w:tc>
      </w:tr>
      <w:tr w:rsidR="00DF6843" w:rsidRPr="00060AB3" w:rsidTr="00AB77E3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EU 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19 316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16 988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16 750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21 358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22 987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23 126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25 268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26 292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24 802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23 028</w:t>
            </w:r>
          </w:p>
        </w:tc>
      </w:tr>
      <w:tr w:rsidR="00DF6843" w:rsidRPr="00060AB3" w:rsidTr="00AB77E3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43" w:rsidRPr="00060AB3" w:rsidRDefault="00DF6843" w:rsidP="00AB77E3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60AB3">
              <w:rPr>
                <w:rFonts w:eastAsia="Times New Roman" w:cs="Arial"/>
                <w:sz w:val="20"/>
                <w:szCs w:val="20"/>
                <w:lang w:eastAsia="cs-CZ"/>
              </w:rPr>
              <w:t>262</w:t>
            </w:r>
          </w:p>
        </w:tc>
      </w:tr>
    </w:tbl>
    <w:p w:rsidR="00DF6843" w:rsidRPr="00DF6843" w:rsidRDefault="00DF6843" w:rsidP="00DF6843">
      <w:pPr>
        <w:rPr>
          <w:sz w:val="22"/>
        </w:rPr>
      </w:pPr>
      <w:r w:rsidRPr="00DF6843">
        <w:rPr>
          <w:sz w:val="22"/>
        </w:rPr>
        <w:t>Zdroj: EUROSTAT</w:t>
      </w:r>
    </w:p>
    <w:p w:rsidR="00DF6843" w:rsidRPr="003D6B0E" w:rsidRDefault="00DF6843" w:rsidP="00DF6843">
      <w:pPr>
        <w:spacing w:line="240" w:lineRule="auto"/>
        <w:rPr>
          <w:rFonts w:cs="Arial"/>
          <w:i/>
          <w:sz w:val="20"/>
          <w:szCs w:val="20"/>
        </w:rPr>
      </w:pPr>
      <w:r w:rsidRPr="003D6B0E">
        <w:rPr>
          <w:rFonts w:cs="Arial"/>
          <w:i/>
          <w:sz w:val="20"/>
          <w:szCs w:val="20"/>
        </w:rPr>
        <w:t>Pozn.: Tabulka neobsahuje registrované uchazeče o zaměstnání</w:t>
      </w:r>
      <w:r>
        <w:rPr>
          <w:rFonts w:cs="Arial"/>
          <w:i/>
          <w:sz w:val="20"/>
          <w:szCs w:val="20"/>
        </w:rPr>
        <w:t xml:space="preserve"> evidované na ÚP ČR</w:t>
      </w:r>
      <w:r w:rsidRPr="003D6B0E">
        <w:rPr>
          <w:rFonts w:cs="Arial"/>
          <w:i/>
          <w:sz w:val="20"/>
          <w:szCs w:val="20"/>
        </w:rPr>
        <w:t>, ale počty nezaměstnaných podle metodiky ILO.</w:t>
      </w:r>
    </w:p>
    <w:p w:rsidR="00BC7391" w:rsidRDefault="00BC7391" w:rsidP="00BC7391">
      <w:pPr>
        <w:spacing w:before="120" w:line="240" w:lineRule="auto"/>
        <w:rPr>
          <w:b/>
        </w:rPr>
      </w:pPr>
    </w:p>
    <w:p w:rsidR="002A2E9D" w:rsidRDefault="002A2E9D" w:rsidP="00BC7391">
      <w:pPr>
        <w:spacing w:before="120" w:line="240" w:lineRule="auto"/>
        <w:rPr>
          <w:b/>
        </w:rPr>
      </w:pPr>
    </w:p>
    <w:p w:rsidR="00FE3F8B" w:rsidRPr="00182B6B" w:rsidRDefault="00182B6B" w:rsidP="00BC7391">
      <w:pPr>
        <w:spacing w:before="120" w:line="240" w:lineRule="auto"/>
        <w:ind w:firstLine="708"/>
        <w:rPr>
          <w:b/>
        </w:rPr>
      </w:pPr>
      <w:r>
        <w:rPr>
          <w:b/>
        </w:rPr>
        <w:lastRenderedPageBreak/>
        <w:t xml:space="preserve">1.3 </w:t>
      </w:r>
      <w:r w:rsidR="009C5C6A" w:rsidRPr="00182B6B">
        <w:rPr>
          <w:b/>
        </w:rPr>
        <w:t>Historický vývoj</w:t>
      </w:r>
    </w:p>
    <w:p w:rsidR="009C5C6A" w:rsidRDefault="009C5C6A" w:rsidP="009C5C6A">
      <w:pPr>
        <w:spacing w:before="120" w:line="240" w:lineRule="auto"/>
      </w:pPr>
      <w:r>
        <w:t>Aktuální situace na trhu práce je výsledkem pozitivního dopadu hospodářského oživení, pozorovatelného v České republice po dlouhých letech recese od 2. pololetí roku 2013, na trh práce. S ohledem na zpoždění reakce trhu práce oproti hospodářskému vývoji, projevuje se pozitivní trend ve zvýšené poptávce po pracovní síle od 1. kvartálu roku 2014. Zvýšená poptávka byla patrná i v zimních měsících 2014/2015, které s ohledem na dopad sezónních prací bývají charakteristické naopak jejím snížením.</w:t>
      </w:r>
    </w:p>
    <w:p w:rsidR="009C5C6A" w:rsidRDefault="009C5C6A" w:rsidP="009C5C6A">
      <w:pPr>
        <w:spacing w:before="120" w:line="240" w:lineRule="auto"/>
      </w:pPr>
      <w:r>
        <w:t>Z časové řady vývoje nabídky a poptávky na trhu práce (viz</w:t>
      </w:r>
      <w:r w:rsidR="008D32A2">
        <w:t xml:space="preserve"> tabulka a</w:t>
      </w:r>
      <w:r>
        <w:t xml:space="preserve"> graf níže) vyplývá, že rok 2015 se ve svém vývoji velice podobá situaci roku 2006, kdy došlo rovněž k výraznému oživení trhu práce po období recese přelomu tisíciletí vyvolané restrukturalizací národního hospodářství.</w:t>
      </w:r>
    </w:p>
    <w:p w:rsidR="00EA569E" w:rsidRDefault="00EA569E" w:rsidP="00EA569E">
      <w:pPr>
        <w:spacing w:before="120" w:line="240" w:lineRule="auto"/>
      </w:pPr>
    </w:p>
    <w:p w:rsidR="00EA569E" w:rsidRPr="008D32A2" w:rsidRDefault="00EA569E" w:rsidP="00EA569E">
      <w:pPr>
        <w:ind w:left="-567"/>
        <w:rPr>
          <w:rFonts w:eastAsia="Times New Roman" w:cs="Arial"/>
          <w:b/>
          <w:bCs/>
          <w:color w:val="000000"/>
          <w:sz w:val="20"/>
          <w:szCs w:val="24"/>
          <w:lang w:eastAsia="cs-CZ"/>
        </w:rPr>
      </w:pPr>
      <w:r w:rsidRPr="008D32A2">
        <w:rPr>
          <w:rFonts w:eastAsia="Times New Roman" w:cs="Arial"/>
          <w:b/>
          <w:bCs/>
          <w:color w:val="000000"/>
          <w:sz w:val="20"/>
          <w:szCs w:val="24"/>
          <w:lang w:eastAsia="cs-CZ"/>
        </w:rPr>
        <w:t>Počet uchazečů o zaměstnání a volných pracovních míst v období 2004 – 1. pol. 2015</w:t>
      </w:r>
    </w:p>
    <w:tbl>
      <w:tblPr>
        <w:tblW w:w="10773" w:type="dxa"/>
        <w:tblInd w:w="-849" w:type="dxa"/>
        <w:tblCellMar>
          <w:left w:w="70" w:type="dxa"/>
          <w:right w:w="70" w:type="dxa"/>
        </w:tblCellMar>
        <w:tblLook w:val="04A0"/>
      </w:tblPr>
      <w:tblGrid>
        <w:gridCol w:w="1224"/>
        <w:gridCol w:w="795"/>
        <w:gridCol w:w="795"/>
        <w:gridCol w:w="795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EA569E" w:rsidRPr="001F1101" w:rsidTr="00182B6B">
        <w:trPr>
          <w:trHeight w:val="630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569E" w:rsidRPr="008D32A2" w:rsidRDefault="00EA569E" w:rsidP="00182B6B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 pol. 2015</w:t>
            </w:r>
          </w:p>
        </w:tc>
      </w:tr>
      <w:tr w:rsidR="00EA569E" w:rsidRPr="001F1101" w:rsidTr="00182B6B">
        <w:trPr>
          <w:trHeight w:val="585"/>
        </w:trPr>
        <w:tc>
          <w:tcPr>
            <w:tcW w:w="12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cs-CZ"/>
              </w:rPr>
              <w:t>Uchazeči o zaměstnání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537 426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514 310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474 790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392 777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324 575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465 576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528 750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507 779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504 381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564 448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561 437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513 925</w:t>
            </w:r>
          </w:p>
        </w:tc>
      </w:tr>
      <w:tr w:rsidR="00EA569E" w:rsidRPr="001F1101" w:rsidTr="00182B6B">
        <w:trPr>
          <w:trHeight w:val="480"/>
        </w:trPr>
        <w:tc>
          <w:tcPr>
            <w:tcW w:w="12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45 595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55 652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82 516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121 993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141 776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48 554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33 147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36 493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39 878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38 964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48 682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69E" w:rsidRPr="008D32A2" w:rsidRDefault="00EA569E" w:rsidP="00182B6B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8D32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76 922</w:t>
            </w:r>
          </w:p>
        </w:tc>
      </w:tr>
    </w:tbl>
    <w:p w:rsidR="00BC0ED9" w:rsidRDefault="00BC0ED9" w:rsidP="009C5C6A">
      <w:pPr>
        <w:spacing w:before="12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3349625"/>
            <wp:effectExtent l="0" t="0" r="0" b="317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32A2" w:rsidRDefault="009C5C6A" w:rsidP="009C5C6A">
      <w:pPr>
        <w:spacing w:before="120" w:line="240" w:lineRule="auto"/>
      </w:pPr>
      <w:r>
        <w:t xml:space="preserve">Z porovnání </w:t>
      </w:r>
      <w:r w:rsidR="00AB77E3">
        <w:t xml:space="preserve">let </w:t>
      </w:r>
      <w:r>
        <w:t>2006 a 2015, které měl</w:t>
      </w:r>
      <w:r w:rsidR="00AB77E3">
        <w:t>y</w:t>
      </w:r>
      <w:r>
        <w:t xml:space="preserve"> statisticky zhruba obdobnou výchozí základnu, je však zřejmé, že </w:t>
      </w:r>
      <w:r w:rsidRPr="00644202">
        <w:rPr>
          <w:b/>
        </w:rPr>
        <w:t>dynamika vývoje nabídky a poptá</w:t>
      </w:r>
      <w:r w:rsidR="0017476D" w:rsidRPr="00644202">
        <w:rPr>
          <w:b/>
        </w:rPr>
        <w:t xml:space="preserve">vky je v současném období vyšší, což vyvolává zvýšené nároky na zprostředkovatelskou činnost na trhu práce a </w:t>
      </w:r>
      <w:r w:rsidR="00AB77E3">
        <w:rPr>
          <w:b/>
        </w:rPr>
        <w:t>z</w:t>
      </w:r>
      <w:r w:rsidR="0017476D" w:rsidRPr="00644202">
        <w:rPr>
          <w:b/>
        </w:rPr>
        <w:t xml:space="preserve">těžuje </w:t>
      </w:r>
      <w:r w:rsidR="00644202">
        <w:rPr>
          <w:b/>
        </w:rPr>
        <w:t xml:space="preserve">rychlou </w:t>
      </w:r>
      <w:r w:rsidR="0017476D" w:rsidRPr="00644202">
        <w:rPr>
          <w:b/>
        </w:rPr>
        <w:t>harmonizaci mezi nabídkou a poptávkou.</w:t>
      </w:r>
      <w:r w:rsidR="004C7874">
        <w:t xml:space="preserve"> Počátkem roku 2006 bylo hlášeno 59 359 volných pracovních míst a evidováno 531 235 uchazečů o zaměstnání, ke konci září 2006 bylo hlášeno 97 543 volných pracovních míst a evidováno 454 182 uchazečů o zaměstnání. Počátkem roku 2015 bylo hlášeno celkem 62 257 volných pracovních </w:t>
      </w:r>
      <w:r w:rsidR="004C7874">
        <w:lastRenderedPageBreak/>
        <w:t xml:space="preserve">míst a evidováno 556 191 uchazečů o zaměstnání, ke konci září 2015 bylo hlášeno 108 573 volných pracovních míst při evidování 441 892 uchazečů o zaměstnání. Zatímco tedy za prvních devět měsíců roku 2006 pokles počet uchazečů o zaměstnání o 77 053 osob při současném nárůstu pracovních míst o 38 184 za prvních devět měsíců roku 2015 poklesl počet evidovaných uchazečů o zaměstnání o </w:t>
      </w:r>
      <w:r w:rsidR="00644202">
        <w:t>114 299 osob a počet pracovních míst vzrostl o 46</w:t>
      </w:r>
      <w:r w:rsidR="008D32A2">
        <w:t> </w:t>
      </w:r>
      <w:r w:rsidR="00644202">
        <w:t>316</w:t>
      </w:r>
      <w:r w:rsidR="008D32A2">
        <w:t>.</w:t>
      </w:r>
    </w:p>
    <w:p w:rsidR="00BC0ED9" w:rsidRDefault="008D32A2" w:rsidP="009C5C6A">
      <w:pPr>
        <w:spacing w:before="120" w:line="240" w:lineRule="auto"/>
      </w:pPr>
      <w:r>
        <w:t>Pro komparaci se strukturou uchazečů o zaměstnání mezi lety 2006 a 2015</w:t>
      </w:r>
      <w:r w:rsidR="00BC0ED9">
        <w:t xml:space="preserve"> níže uvádíme strukturu volných pracovních míst a uchazečů o zaměstnání v roce 2006.</w:t>
      </w:r>
    </w:p>
    <w:p w:rsidR="00BC0ED9" w:rsidRDefault="00BC0ED9" w:rsidP="009C5C6A">
      <w:pPr>
        <w:spacing w:before="120" w:line="240" w:lineRule="auto"/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6160"/>
        <w:gridCol w:w="1235"/>
        <w:gridCol w:w="1345"/>
      </w:tblGrid>
      <w:tr w:rsidR="00BC0ED9" w:rsidRPr="00BB7BDA" w:rsidTr="00182B6B">
        <w:trPr>
          <w:trHeight w:val="315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Nejvíce poptávané profese k 30.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9.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2006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KZAM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KZAM - POPIS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VPM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neobsazená více než 3 </w:t>
            </w:r>
            <w:proofErr w:type="spellStart"/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měs</w:t>
            </w:r>
            <w:proofErr w:type="spellEnd"/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v %</w:t>
            </w:r>
          </w:p>
        </w:tc>
      </w:tr>
      <w:tr w:rsidR="00BC0ED9" w:rsidRPr="00BB7BDA" w:rsidTr="00182B6B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Stavební dělníci hlavní stavební výroby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7 792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44,5</w:t>
            </w:r>
          </w:p>
        </w:tc>
      </w:tr>
      <w:tr w:rsidR="00BC0ED9" w:rsidRPr="00BB7BDA" w:rsidTr="00182B6B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Kováři, nástrojaři, zámečníci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6 609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49,5</w:t>
            </w:r>
          </w:p>
        </w:tc>
      </w:tr>
      <w:tr w:rsidR="00BC0ED9" w:rsidRPr="00BB7BDA" w:rsidTr="00182B6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931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Pomocní a nekvalifikovaní dělníci v dolech a lomech, ve stavebnictví </w:t>
            </w: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a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6 523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50,6</w:t>
            </w:r>
          </w:p>
        </w:tc>
      </w:tr>
      <w:tr w:rsidR="00BC0ED9" w:rsidRPr="00BB7BDA" w:rsidTr="00182B6B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832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Řidiči motorových vozidel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5 210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43,8</w:t>
            </w:r>
          </w:p>
        </w:tc>
      </w:tr>
      <w:tr w:rsidR="00BC0ED9" w:rsidRPr="00BB7BDA" w:rsidTr="00182B6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Formíři, svářeči, výrobci a opraváři výrobků z plechů, potápěčské čety </w:t>
            </w: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4 586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54,1</w:t>
            </w: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932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Pomocní a nekvalifikovaní dělníci v průmyslu /ve výrobě/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3 683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40,9</w:t>
            </w: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828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Montážní dělníci /práce na montážních linkách/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3 627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60,2</w:t>
            </w: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Technici ve fyzikálních, technických a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3 524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49,3</w:t>
            </w: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pracovníci stravování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3 298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41,7</w:t>
            </w: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Prodavači v obchodech a předváděči zboží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3 078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29,7</w:t>
            </w: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C0ED9" w:rsidRPr="00BB7BDA" w:rsidTr="00182B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15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Uchazeči o zaměstnání podle nejpočetnějších profesí k 30.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9.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2006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KZAM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KZAM - POPIS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</w:t>
            </w:r>
            <w:proofErr w:type="spellStart"/>
            <w:r w:rsidRPr="00BB7B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932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Pomocní a nekvalifikovaní dělníci v průmyslu /ve výrobě/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36 454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Prodavači v obchodech a předváděči zboží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35 250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pracovníci stravování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26 596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913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Pomocníci, uklízeči a pradláci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23 297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Kancelářští a manipulační pracovníci, sekretářky, písařky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20 220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832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Řidiči motorových vozidel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14 259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9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Stavební dělníci hlavní stavební výroby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13 441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Odborní administrativní pracovníci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12 338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915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Vrátní, nosiči, poslové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12 305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0ED9" w:rsidRPr="00BB7BDA" w:rsidTr="00182B6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Kováři, nástrojaři, zámečníci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D9" w:rsidRPr="00BB7BDA" w:rsidRDefault="00BC0ED9" w:rsidP="00182B6B">
            <w:pPr>
              <w:spacing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B7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10 129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D9" w:rsidRPr="00BB7BDA" w:rsidRDefault="00BC0ED9" w:rsidP="00182B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C0ED9" w:rsidRDefault="004C7874" w:rsidP="009C5C6A">
      <w:pPr>
        <w:spacing w:before="120" w:line="240" w:lineRule="auto"/>
      </w:pPr>
      <w:r>
        <w:t xml:space="preserve"> </w:t>
      </w:r>
    </w:p>
    <w:p w:rsidR="00BC0ED9" w:rsidRPr="009C5C6A" w:rsidRDefault="00BC0ED9" w:rsidP="009C5C6A">
      <w:pPr>
        <w:spacing w:before="120" w:line="240" w:lineRule="auto"/>
      </w:pPr>
    </w:p>
    <w:p w:rsidR="00BC0ED9" w:rsidRDefault="00BC0ED9">
      <w:pPr>
        <w:spacing w:after="200"/>
        <w:jc w:val="left"/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38801" cy="3790950"/>
            <wp:effectExtent l="0" t="0" r="19050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</w:rPr>
        <w:br w:type="page"/>
      </w:r>
    </w:p>
    <w:p w:rsidR="00BC0ED9" w:rsidRDefault="00BC0ED9" w:rsidP="00FE3F8B">
      <w:pPr>
        <w:spacing w:before="120" w:line="240" w:lineRule="auto"/>
        <w:jc w:val="center"/>
        <w:rPr>
          <w:rFonts w:cs="Arial"/>
          <w:b/>
          <w:sz w:val="28"/>
          <w:szCs w:val="24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076065"/>
            <wp:effectExtent l="0" t="0" r="0" b="635"/>
            <wp:docPr id="6" name="Obrázek 6" descr="C:\Users\sebestoval\arcwiew\Gis\KOMPOZICE\AKTUALNI\MAPA UCH_na_VM 9_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estoval\arcwiew\Gis\KOMPOZICE\AKTUALNI\MAPA UCH_na_VM 9_20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D9" w:rsidRDefault="00BC0ED9" w:rsidP="00FE3F8B">
      <w:pPr>
        <w:spacing w:before="120" w:line="240" w:lineRule="auto"/>
        <w:jc w:val="center"/>
        <w:rPr>
          <w:rFonts w:cs="Arial"/>
          <w:b/>
          <w:sz w:val="28"/>
          <w:szCs w:val="24"/>
          <w:u w:val="single"/>
        </w:rPr>
      </w:pPr>
    </w:p>
    <w:p w:rsidR="00BC0ED9" w:rsidRDefault="00BC0ED9">
      <w:pPr>
        <w:spacing w:after="200"/>
        <w:jc w:val="left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br w:type="page"/>
      </w:r>
    </w:p>
    <w:p w:rsidR="000E0C7B" w:rsidRPr="00FE3F8B" w:rsidRDefault="003A46E7" w:rsidP="00FE3F8B">
      <w:pPr>
        <w:spacing w:before="120" w:line="240" w:lineRule="auto"/>
        <w:jc w:val="center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lastRenderedPageBreak/>
        <w:t>2</w:t>
      </w:r>
      <w:r w:rsidR="002D7DC2" w:rsidRPr="00FE3F8B">
        <w:rPr>
          <w:rFonts w:cs="Arial"/>
          <w:b/>
          <w:sz w:val="28"/>
          <w:szCs w:val="24"/>
          <w:u w:val="single"/>
        </w:rPr>
        <w:t>. Analýza nabídky a poptávky na trhu práce</w:t>
      </w:r>
    </w:p>
    <w:p w:rsidR="002D7DC2" w:rsidRPr="00FE3F8B" w:rsidRDefault="002D7DC2" w:rsidP="00FE3F8B">
      <w:pPr>
        <w:spacing w:before="120" w:line="240" w:lineRule="auto"/>
        <w:rPr>
          <w:rFonts w:cs="Arial"/>
          <w:szCs w:val="24"/>
        </w:rPr>
      </w:pPr>
    </w:p>
    <w:p w:rsidR="002D7DC2" w:rsidRPr="00FE3F8B" w:rsidRDefault="002D7DC2" w:rsidP="00FE3F8B">
      <w:pPr>
        <w:spacing w:before="120"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Přes pozitivní vývoj na trhu práce v ČR zejména v oblasti poptávky po pracovní síle se v mnoha povoláních objevují výrazné disproporce mezi poptávkou a nabídkou, čili mezi počtem volných pracovních míst v evidenci </w:t>
      </w:r>
      <w:r w:rsidR="00F65933">
        <w:rPr>
          <w:rFonts w:cs="Arial"/>
          <w:szCs w:val="24"/>
        </w:rPr>
        <w:t>ÚP ČR a počtem uchazečů o </w:t>
      </w:r>
      <w:r w:rsidRPr="00FE3F8B">
        <w:rPr>
          <w:rFonts w:cs="Arial"/>
          <w:szCs w:val="24"/>
        </w:rPr>
        <w:t>zaměstnání. Příčiny tohoto nesouladu lze definovat jak na straně poptávky (volných pracovních míst), tak na straně nabídky (uchazečů o zaměstnání). V následujícím textu jsou tyto příčiny definovány pro nejčastější skupiny povolání (dle třímístného kódu CZ ISCO).</w:t>
      </w:r>
    </w:p>
    <w:p w:rsidR="002D7DC2" w:rsidRPr="00FE3F8B" w:rsidRDefault="002D7DC2" w:rsidP="00FE3F8B">
      <w:pPr>
        <w:spacing w:before="120" w:line="240" w:lineRule="auto"/>
        <w:rPr>
          <w:rFonts w:cs="Arial"/>
          <w:szCs w:val="24"/>
        </w:rPr>
      </w:pPr>
    </w:p>
    <w:p w:rsidR="002D7DC2" w:rsidRPr="00FE3F8B" w:rsidRDefault="002D7DC2" w:rsidP="00FE3F8B">
      <w:pPr>
        <w:spacing w:before="120" w:line="240" w:lineRule="auto"/>
        <w:rPr>
          <w:rFonts w:cs="Arial"/>
          <w:b/>
          <w:szCs w:val="24"/>
        </w:rPr>
      </w:pPr>
      <w:r w:rsidRPr="00FE3F8B">
        <w:rPr>
          <w:rFonts w:cs="Arial"/>
          <w:b/>
          <w:szCs w:val="24"/>
        </w:rPr>
        <w:t>2.1 Nejčastěji poptávané skupiny povolání</w:t>
      </w:r>
    </w:p>
    <w:p w:rsidR="002D7DC2" w:rsidRPr="00FE3F8B" w:rsidRDefault="002D7DC2" w:rsidP="00FE3F8B">
      <w:pPr>
        <w:spacing w:before="120"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Ze strany zaměstnavatelů jsou nejčastěji poptávána, resp. ÚP ČR hlášena, pracovní místa v 7., 8. a 9. třídě zaměstnání. Jedná se v převážné většině o pracovní místa s nižšími kvalifikačními požadavky, s nízkou nabízenou odměnou za vykonanou práci a obtížnějšími pracovními podmínkami. </w:t>
      </w:r>
      <w:r w:rsidRPr="003A46E7">
        <w:rPr>
          <w:rFonts w:cs="Arial"/>
          <w:szCs w:val="24"/>
        </w:rPr>
        <w:t>Řada z těchto pracovních míst je zaměstnavateli hlášena z důvodu obsazení pracovních míst občany třetích zemí</w:t>
      </w:r>
      <w:r w:rsidR="00CD44EC" w:rsidRPr="003A46E7">
        <w:rPr>
          <w:rFonts w:cs="Arial"/>
          <w:szCs w:val="24"/>
        </w:rPr>
        <w:t>.</w:t>
      </w:r>
    </w:p>
    <w:p w:rsidR="00CD44EC" w:rsidRPr="00FE3F8B" w:rsidRDefault="00CD44EC" w:rsidP="00FE3F8B">
      <w:pPr>
        <w:spacing w:before="120" w:line="240" w:lineRule="auto"/>
        <w:rPr>
          <w:rFonts w:cs="Arial"/>
          <w:szCs w:val="24"/>
        </w:rPr>
      </w:pPr>
    </w:p>
    <w:p w:rsidR="00CD44EC" w:rsidRPr="003A46E7" w:rsidRDefault="00CD44EC" w:rsidP="00FE3F8B">
      <w:pPr>
        <w:spacing w:before="120" w:line="240" w:lineRule="auto"/>
        <w:rPr>
          <w:rFonts w:cs="Arial"/>
          <w:b/>
          <w:szCs w:val="24"/>
        </w:rPr>
      </w:pPr>
      <w:r w:rsidRPr="00FE3F8B">
        <w:rPr>
          <w:rFonts w:cs="Arial"/>
          <w:szCs w:val="24"/>
        </w:rPr>
        <w:t xml:space="preserve">V oblasti poptávky po pracovní síle, lze vysledovat </w:t>
      </w:r>
      <w:r w:rsidRPr="003A46E7">
        <w:rPr>
          <w:rFonts w:cs="Arial"/>
          <w:b/>
          <w:szCs w:val="24"/>
        </w:rPr>
        <w:t>dva základní determinanty omezující funkční zprostředkování zaměstnání a vytvářející diskrepanci na trhu práce:</w:t>
      </w:r>
    </w:p>
    <w:p w:rsidR="00CD44EC" w:rsidRPr="003A46E7" w:rsidRDefault="00CD44EC" w:rsidP="00FE3F8B">
      <w:pPr>
        <w:pStyle w:val="Odstavecseseznamem"/>
        <w:numPr>
          <w:ilvl w:val="0"/>
          <w:numId w:val="1"/>
        </w:numPr>
        <w:spacing w:before="120" w:line="240" w:lineRule="auto"/>
        <w:rPr>
          <w:rFonts w:cs="Arial"/>
          <w:b/>
          <w:szCs w:val="24"/>
        </w:rPr>
      </w:pPr>
      <w:r w:rsidRPr="003A46E7">
        <w:rPr>
          <w:rFonts w:cs="Arial"/>
          <w:b/>
          <w:szCs w:val="24"/>
        </w:rPr>
        <w:t>ze strany zaměstnavatelů nabízené nízké mzdové ohodnocení za vykonanou práci ve spojení s obtížnými pracovními podmínkami (směnnost, dojížďka, fyzická náročnost);</w:t>
      </w:r>
    </w:p>
    <w:p w:rsidR="00CD44EC" w:rsidRPr="003A46E7" w:rsidRDefault="00CD44EC" w:rsidP="00FE3F8B">
      <w:pPr>
        <w:pStyle w:val="Odstavecseseznamem"/>
        <w:numPr>
          <w:ilvl w:val="0"/>
          <w:numId w:val="1"/>
        </w:numPr>
        <w:spacing w:before="120" w:line="240" w:lineRule="auto"/>
        <w:rPr>
          <w:rFonts w:cs="Arial"/>
          <w:b/>
          <w:szCs w:val="24"/>
        </w:rPr>
      </w:pPr>
      <w:r w:rsidRPr="003A46E7">
        <w:rPr>
          <w:rFonts w:cs="Arial"/>
          <w:b/>
          <w:szCs w:val="24"/>
        </w:rPr>
        <w:t>poptávka po oborech, které se potýkají s nedostatkem pracovní síly (zejména technické obory).</w:t>
      </w:r>
    </w:p>
    <w:p w:rsidR="002D7DC2" w:rsidRPr="00FE3F8B" w:rsidRDefault="00CD44EC" w:rsidP="00FE3F8B">
      <w:pPr>
        <w:spacing w:before="120"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Nejčastěji poptávané (a neobsazené) jsou níže uvedené skupiny povolání:</w:t>
      </w:r>
    </w:p>
    <w:p w:rsidR="00CD44EC" w:rsidRPr="00FE3F8B" w:rsidRDefault="00CD44EC" w:rsidP="00FE3F8B">
      <w:pPr>
        <w:spacing w:before="120" w:line="240" w:lineRule="auto"/>
        <w:rPr>
          <w:rFonts w:cs="Arial"/>
          <w:szCs w:val="24"/>
        </w:rPr>
      </w:pPr>
    </w:p>
    <w:p w:rsidR="002D7DC2" w:rsidRPr="003A46E7" w:rsidRDefault="002D7DC2" w:rsidP="00FE3F8B">
      <w:pPr>
        <w:spacing w:line="240" w:lineRule="auto"/>
        <w:rPr>
          <w:rFonts w:cs="Arial"/>
          <w:b/>
          <w:i/>
          <w:szCs w:val="24"/>
        </w:rPr>
      </w:pPr>
      <w:r w:rsidRPr="003A46E7">
        <w:rPr>
          <w:rFonts w:cs="Arial"/>
          <w:b/>
          <w:i/>
          <w:szCs w:val="24"/>
        </w:rPr>
        <w:t xml:space="preserve">Pomocní pracovníci ve výrobě – CZ ISCO 932 </w:t>
      </w:r>
    </w:p>
    <w:p w:rsidR="002D7DC2" w:rsidRPr="00FE3F8B" w:rsidRDefault="00ED7DE4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Jedná se o skupinu prací s nízkými kvalifikačními požadavky s často vysoce nízkou (minimální) mzdou. Její výše </w:t>
      </w:r>
      <w:r w:rsidR="002D7DC2" w:rsidRPr="00FE3F8B">
        <w:rPr>
          <w:rFonts w:cs="Arial"/>
          <w:szCs w:val="24"/>
        </w:rPr>
        <w:t xml:space="preserve">není pro uchazeče o zaměstnání dostatečně motivující, </w:t>
      </w:r>
      <w:r w:rsidRPr="00FE3F8B">
        <w:rPr>
          <w:rFonts w:cs="Arial"/>
          <w:szCs w:val="24"/>
        </w:rPr>
        <w:t>zejména v případě nutnosti dojížďky do zaměstnání mimo místo bydliště, kdy není schopna adekvátně kompenzovat zvýšené nákla</w:t>
      </w:r>
      <w:r w:rsidR="00F65933">
        <w:rPr>
          <w:rFonts w:cs="Arial"/>
          <w:szCs w:val="24"/>
        </w:rPr>
        <w:t>dy (doprava, zabezpečení péče o </w:t>
      </w:r>
      <w:r w:rsidRPr="00FE3F8B">
        <w:rPr>
          <w:rFonts w:cs="Arial"/>
          <w:szCs w:val="24"/>
        </w:rPr>
        <w:t>dítě či jinou závislou osobu atd.).</w:t>
      </w:r>
      <w:r w:rsidR="002D7DC2" w:rsidRPr="00FE3F8B">
        <w:rPr>
          <w:rFonts w:cs="Arial"/>
          <w:szCs w:val="24"/>
        </w:rPr>
        <w:t xml:space="preserve"> </w:t>
      </w:r>
      <w:r w:rsidRPr="00FE3F8B">
        <w:rPr>
          <w:rFonts w:cs="Arial"/>
          <w:szCs w:val="24"/>
        </w:rPr>
        <w:t xml:space="preserve">Problematická je rovněž </w:t>
      </w:r>
      <w:r w:rsidR="002D7DC2" w:rsidRPr="00FE3F8B">
        <w:rPr>
          <w:rFonts w:cs="Arial"/>
          <w:szCs w:val="24"/>
        </w:rPr>
        <w:t>fyzick</w:t>
      </w:r>
      <w:r w:rsidRPr="00FE3F8B">
        <w:rPr>
          <w:rFonts w:cs="Arial"/>
          <w:szCs w:val="24"/>
        </w:rPr>
        <w:t>á</w:t>
      </w:r>
      <w:r w:rsidR="002D7DC2" w:rsidRPr="00FE3F8B">
        <w:rPr>
          <w:rFonts w:cs="Arial"/>
          <w:szCs w:val="24"/>
        </w:rPr>
        <w:t xml:space="preserve"> náročno</w:t>
      </w:r>
      <w:r w:rsidRPr="00FE3F8B">
        <w:rPr>
          <w:rFonts w:cs="Arial"/>
          <w:szCs w:val="24"/>
        </w:rPr>
        <w:t>st</w:t>
      </w:r>
      <w:r w:rsidR="002D7DC2" w:rsidRPr="00FE3F8B">
        <w:rPr>
          <w:rFonts w:cs="Arial"/>
          <w:szCs w:val="24"/>
        </w:rPr>
        <w:t xml:space="preserve"> prác</w:t>
      </w:r>
      <w:r w:rsidRPr="00FE3F8B">
        <w:rPr>
          <w:rFonts w:cs="Arial"/>
          <w:szCs w:val="24"/>
        </w:rPr>
        <w:t>e v kombinaci s požadavky na směnnost provozu (dvou až třísměnné provozy)</w:t>
      </w:r>
      <w:r w:rsidR="002D7DC2" w:rsidRPr="00FE3F8B">
        <w:rPr>
          <w:rFonts w:cs="Arial"/>
          <w:szCs w:val="24"/>
        </w:rPr>
        <w:t xml:space="preserve">. </w:t>
      </w:r>
      <w:r w:rsidRPr="00FE3F8B">
        <w:rPr>
          <w:rFonts w:cs="Arial"/>
          <w:szCs w:val="24"/>
        </w:rPr>
        <w:t xml:space="preserve">Motivace k přijetí takovéhoto zaměstnání je dále snižována volenými formami pracovně-právních vztahů – často jsou využívány agentury práce a dohody mimo pracovní poměr. </w:t>
      </w:r>
    </w:p>
    <w:p w:rsidR="00FE3F8B" w:rsidRDefault="00FE3F8B" w:rsidP="00FE3F8B">
      <w:pPr>
        <w:spacing w:line="240" w:lineRule="auto"/>
        <w:rPr>
          <w:rFonts w:cs="Arial"/>
          <w:i/>
          <w:szCs w:val="24"/>
        </w:rPr>
      </w:pPr>
    </w:p>
    <w:p w:rsidR="002D7DC2" w:rsidRPr="003A46E7" w:rsidRDefault="002D7DC2" w:rsidP="00FE3F8B">
      <w:pPr>
        <w:spacing w:line="240" w:lineRule="auto"/>
        <w:rPr>
          <w:rFonts w:cs="Arial"/>
          <w:b/>
          <w:i/>
          <w:szCs w:val="24"/>
        </w:rPr>
      </w:pPr>
      <w:r w:rsidRPr="003A46E7">
        <w:rPr>
          <w:rFonts w:cs="Arial"/>
          <w:b/>
          <w:i/>
          <w:szCs w:val="24"/>
        </w:rPr>
        <w:t>Montážní dělníci výrobků a zařízení – CZ ISCO 821</w:t>
      </w:r>
    </w:p>
    <w:p w:rsidR="002D7DC2" w:rsidRPr="00FE3F8B" w:rsidRDefault="00ED7DE4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U této skupiny převažují obdobné problémy, jako v předcházejícím případě – nízké mzdové ohodnocení kombinované se směnností</w:t>
      </w:r>
      <w:r w:rsidR="00F65933">
        <w:rPr>
          <w:rFonts w:cs="Arial"/>
          <w:szCs w:val="24"/>
        </w:rPr>
        <w:t xml:space="preserve"> provozů, fyzickou náročností a </w:t>
      </w:r>
      <w:r w:rsidRPr="00FE3F8B">
        <w:rPr>
          <w:rFonts w:cs="Arial"/>
          <w:szCs w:val="24"/>
        </w:rPr>
        <w:t>formami pracovně-právních vztahů</w:t>
      </w:r>
      <w:r w:rsidR="002D7DC2" w:rsidRPr="00FE3F8B">
        <w:rPr>
          <w:rFonts w:cs="Arial"/>
          <w:szCs w:val="24"/>
        </w:rPr>
        <w:t xml:space="preserve">. Rozdíl tvoří vyšší kvalifikační požadavky na zaměstnance, kdy zaměstnavatelé požadují vyučení a mnohdy také praxi v oboru. Nízká úroveň ohodnocení ve spojení se směnným provozem a systémem agenturního zaměstnávání však způsobují nezájem o tyto pozice ze strany uchazečů o zaměstnání. Dalším problémem je přímá závislost pracovních míst na zakázkách </w:t>
      </w:r>
      <w:r w:rsidR="002D7DC2" w:rsidRPr="00FE3F8B">
        <w:rPr>
          <w:rFonts w:cs="Arial"/>
          <w:szCs w:val="24"/>
        </w:rPr>
        <w:lastRenderedPageBreak/>
        <w:t xml:space="preserve">zaměstnavatele, kdy v případě nové zakázky zaměstnavatel poptává vyšší počet kvalifikovaných zaměstnanců s praxí a naopak v případě ztráty zakázek zaměstnance propouští. </w:t>
      </w:r>
      <w:r w:rsidRPr="00FE3F8B">
        <w:rPr>
          <w:rFonts w:cs="Arial"/>
          <w:szCs w:val="24"/>
        </w:rPr>
        <w:t>Jedná se tedy o skupinu povolání s charakteristickou vysokou fluktuací způsobenou jak pracovní silou, tak vlastní závislostí vykonávaných prací na objemu zakázek, včetně vlivu sezónnosti</w:t>
      </w:r>
      <w:r w:rsidR="002D7DC2" w:rsidRPr="00FE3F8B">
        <w:rPr>
          <w:rFonts w:cs="Arial"/>
          <w:szCs w:val="24"/>
        </w:rPr>
        <w:t xml:space="preserve">. </w:t>
      </w:r>
    </w:p>
    <w:p w:rsidR="00ED7DE4" w:rsidRPr="00FE3F8B" w:rsidRDefault="00ED7DE4" w:rsidP="00FE3F8B">
      <w:pPr>
        <w:spacing w:line="240" w:lineRule="auto"/>
        <w:rPr>
          <w:rFonts w:cs="Arial"/>
          <w:szCs w:val="24"/>
        </w:rPr>
      </w:pPr>
    </w:p>
    <w:p w:rsidR="002D7DC2" w:rsidRPr="003A46E7" w:rsidRDefault="002D7DC2" w:rsidP="00FE3F8B">
      <w:pPr>
        <w:spacing w:line="240" w:lineRule="auto"/>
        <w:rPr>
          <w:rFonts w:cs="Arial"/>
          <w:b/>
          <w:i/>
          <w:szCs w:val="24"/>
        </w:rPr>
      </w:pPr>
      <w:r w:rsidRPr="003A46E7">
        <w:rPr>
          <w:rFonts w:cs="Arial"/>
          <w:b/>
          <w:i/>
          <w:szCs w:val="24"/>
        </w:rPr>
        <w:t>Řidiči nákladních automobilů, autobusů a tramvají – CZ ISCO 833</w:t>
      </w:r>
    </w:p>
    <w:p w:rsidR="002D7DC2" w:rsidRPr="00FE3F8B" w:rsidRDefault="002D7DC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Hlavními problémy při snaze obsadit volná pracovní místa z této skupiny je obava z odpovědnosti za cestující v případě řidičů autobusu nebo tramvaje</w:t>
      </w:r>
      <w:r w:rsidR="00ED7DE4" w:rsidRPr="00FE3F8B">
        <w:rPr>
          <w:rFonts w:cs="Arial"/>
          <w:szCs w:val="24"/>
        </w:rPr>
        <w:t xml:space="preserve">. V případě řidičů v nákladní dopravě je výraznou bariérou </w:t>
      </w:r>
      <w:r w:rsidRPr="00FE3F8B">
        <w:rPr>
          <w:rFonts w:cs="Arial"/>
          <w:szCs w:val="24"/>
        </w:rPr>
        <w:t xml:space="preserve">časová náročnost </w:t>
      </w:r>
      <w:r w:rsidR="00ED7DE4" w:rsidRPr="00FE3F8B">
        <w:rPr>
          <w:rFonts w:cs="Arial"/>
          <w:szCs w:val="24"/>
        </w:rPr>
        <w:t>znemožňující soulad mezi rodinným a pracovním životem</w:t>
      </w:r>
      <w:r w:rsidRPr="00FE3F8B">
        <w:rPr>
          <w:rFonts w:cs="Arial"/>
          <w:szCs w:val="24"/>
        </w:rPr>
        <w:t xml:space="preserve">. Mnoho uchazečů o zaměstnání má také negativní zkušenost s tlakem zaměstnavatelů na překračování legislativních norem (např. délka jízdy, množství přepravovaného nákladu, technický stav vozidla). Další překážkou jsou vysoké kvalifikační nároky v podobě speciálních </w:t>
      </w:r>
      <w:r w:rsidR="00ED7DE4" w:rsidRPr="00FE3F8B">
        <w:rPr>
          <w:rFonts w:cs="Arial"/>
          <w:szCs w:val="24"/>
        </w:rPr>
        <w:t xml:space="preserve">(finančně nákladných) </w:t>
      </w:r>
      <w:r w:rsidRPr="00FE3F8B">
        <w:rPr>
          <w:rFonts w:cs="Arial"/>
          <w:szCs w:val="24"/>
        </w:rPr>
        <w:t>řidičských oprávnění a nutná praxe.</w:t>
      </w:r>
    </w:p>
    <w:p w:rsidR="00ED7DE4" w:rsidRPr="00FE3F8B" w:rsidRDefault="00ED7DE4" w:rsidP="00FE3F8B">
      <w:pPr>
        <w:spacing w:line="240" w:lineRule="auto"/>
        <w:rPr>
          <w:rFonts w:cs="Arial"/>
          <w:szCs w:val="24"/>
        </w:rPr>
      </w:pPr>
    </w:p>
    <w:p w:rsidR="002D7DC2" w:rsidRPr="003A46E7" w:rsidRDefault="002D7DC2" w:rsidP="00FE3F8B">
      <w:pPr>
        <w:spacing w:line="240" w:lineRule="auto"/>
        <w:rPr>
          <w:rFonts w:cs="Arial"/>
          <w:b/>
          <w:i/>
          <w:szCs w:val="24"/>
        </w:rPr>
      </w:pPr>
      <w:r w:rsidRPr="003A46E7">
        <w:rPr>
          <w:rFonts w:cs="Arial"/>
          <w:b/>
          <w:i/>
          <w:szCs w:val="24"/>
        </w:rPr>
        <w:t>Kováři, nástrojáři a příbuzní pracovníci – CZ ISCO 722</w:t>
      </w:r>
      <w:r w:rsidRPr="003A46E7">
        <w:rPr>
          <w:rFonts w:cs="Arial"/>
          <w:b/>
          <w:i/>
          <w:szCs w:val="24"/>
        </w:rPr>
        <w:tab/>
      </w:r>
    </w:p>
    <w:p w:rsidR="002D7DC2" w:rsidRPr="00FE3F8B" w:rsidRDefault="002D7DC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Vysoký počet volných pracovních míst, která se nedaří v této skupině dlouhodobě obsadit, souvisí s vysokými kvalifikačními a dovedn</w:t>
      </w:r>
      <w:r w:rsidR="00F65933">
        <w:rPr>
          <w:rFonts w:cs="Arial"/>
          <w:szCs w:val="24"/>
        </w:rPr>
        <w:t>ostními nároky na zaměstnance a </w:t>
      </w:r>
      <w:r w:rsidRPr="00FE3F8B">
        <w:rPr>
          <w:rFonts w:cs="Arial"/>
          <w:szCs w:val="24"/>
        </w:rPr>
        <w:t>nedostatkem pracovní síly ve strojírenských profesích. Zaměstnavatelé často požadují mimo vzdělání v oboru další znalosti (v případě obsluhy a seřizovačů CNC strojů základní znalost anglického jazyka) a dostatečnou praxi.</w:t>
      </w:r>
    </w:p>
    <w:p w:rsidR="002D7DC2" w:rsidRPr="00FE3F8B" w:rsidRDefault="002D7DC2" w:rsidP="00FE3F8B">
      <w:pPr>
        <w:spacing w:line="240" w:lineRule="auto"/>
        <w:rPr>
          <w:rFonts w:cs="Arial"/>
          <w:b/>
          <w:szCs w:val="24"/>
        </w:rPr>
      </w:pPr>
    </w:p>
    <w:p w:rsidR="002D7DC2" w:rsidRPr="003A46E7" w:rsidRDefault="002D7DC2" w:rsidP="00FE3F8B">
      <w:pPr>
        <w:spacing w:line="240" w:lineRule="auto"/>
        <w:rPr>
          <w:rFonts w:cs="Arial"/>
          <w:b/>
          <w:i/>
          <w:szCs w:val="24"/>
        </w:rPr>
      </w:pPr>
      <w:r w:rsidRPr="003A46E7">
        <w:rPr>
          <w:rFonts w:cs="Arial"/>
          <w:b/>
          <w:i/>
          <w:szCs w:val="24"/>
        </w:rPr>
        <w:t>Pracovníci v oblasti ochrany a ostrahy – CZ ISCO 541</w:t>
      </w:r>
    </w:p>
    <w:p w:rsidR="002D7DC2" w:rsidRPr="00FE3F8B" w:rsidRDefault="002D7DC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Část z celkového počtu volných pracovních míst spadajících do této skupiny jsou dlouhodobě hlášená volná místa Policií ČR. Tyto pozice jsou z důvodu požadavků zaměstnavatele (zejména psychotesty a testy fyzické zdatnosti) velmi obtížně </w:t>
      </w:r>
      <w:proofErr w:type="spellStart"/>
      <w:r w:rsidRPr="00FE3F8B">
        <w:rPr>
          <w:rFonts w:cs="Arial"/>
          <w:szCs w:val="24"/>
        </w:rPr>
        <w:t>obsa</w:t>
      </w:r>
      <w:r w:rsidR="00035E91" w:rsidRPr="00FE3F8B">
        <w:rPr>
          <w:rFonts w:cs="Arial"/>
          <w:szCs w:val="24"/>
        </w:rPr>
        <w:t>di</w:t>
      </w:r>
      <w:r w:rsidRPr="00FE3F8B">
        <w:rPr>
          <w:rFonts w:cs="Arial"/>
          <w:szCs w:val="24"/>
        </w:rPr>
        <w:t>telné</w:t>
      </w:r>
      <w:proofErr w:type="spellEnd"/>
      <w:r w:rsidRPr="00FE3F8B">
        <w:rPr>
          <w:rFonts w:cs="Arial"/>
          <w:szCs w:val="24"/>
        </w:rPr>
        <w:t xml:space="preserve">, je nutná motivace a zájem samotného uchazeče. Na zbývající volná pracovní místa z této skupiny zaměstnavatelé požadují především osoby zdravotně postižené na zkrácené a krátkodobé úvazky. </w:t>
      </w:r>
      <w:r w:rsidR="00035E91" w:rsidRPr="00FE3F8B">
        <w:rPr>
          <w:rFonts w:cs="Arial"/>
          <w:szCs w:val="24"/>
        </w:rPr>
        <w:t xml:space="preserve">Výrazný vliv může hrát systém podpory zaměstnávání osob se zdravotním postižením, zejména obligatorního poskytování příspěvku podle § 78 zákona č. 435/2004 Sb. </w:t>
      </w:r>
      <w:r w:rsidRPr="00FE3F8B">
        <w:rPr>
          <w:rFonts w:cs="Arial"/>
          <w:szCs w:val="24"/>
        </w:rPr>
        <w:t>Posouzení vhodnosti uchazeče je závislé na doporučení lékaře ve vztahu k jeho zdravotnímu stavu a požadavkům pro konkrétní pozici</w:t>
      </w:r>
      <w:r w:rsidR="00CD44EC" w:rsidRPr="00FE3F8B">
        <w:rPr>
          <w:rFonts w:cs="Arial"/>
          <w:szCs w:val="24"/>
        </w:rPr>
        <w:t xml:space="preserve"> – v některých regionech proto dochází k disproporci mezi požadavky zaměstnavatelů a objemu volné pracovní síly odpovídající požadavkům zaměstnavatelů</w:t>
      </w:r>
      <w:r w:rsidRPr="00FE3F8B">
        <w:rPr>
          <w:rFonts w:cs="Arial"/>
          <w:szCs w:val="24"/>
        </w:rPr>
        <w:t>. V případě bezpečnostních agentur je také častým problémem nízká mzda.</w:t>
      </w:r>
    </w:p>
    <w:p w:rsidR="00035E91" w:rsidRPr="00FE3F8B" w:rsidRDefault="00035E91" w:rsidP="00FE3F8B">
      <w:pPr>
        <w:spacing w:line="240" w:lineRule="auto"/>
        <w:rPr>
          <w:rFonts w:cs="Arial"/>
          <w:szCs w:val="24"/>
        </w:rPr>
      </w:pPr>
    </w:p>
    <w:p w:rsidR="002D7DC2" w:rsidRPr="003A46E7" w:rsidRDefault="002D7DC2" w:rsidP="00FE3F8B">
      <w:pPr>
        <w:spacing w:line="240" w:lineRule="auto"/>
        <w:rPr>
          <w:rFonts w:cs="Arial"/>
          <w:b/>
          <w:i/>
          <w:szCs w:val="24"/>
        </w:rPr>
      </w:pPr>
      <w:r w:rsidRPr="003A46E7">
        <w:rPr>
          <w:rFonts w:cs="Arial"/>
          <w:b/>
          <w:i/>
          <w:szCs w:val="24"/>
        </w:rPr>
        <w:t>Obsluha pojízdných zařízení – CZ ISCO 834</w:t>
      </w:r>
    </w:p>
    <w:p w:rsidR="002D7DC2" w:rsidRPr="00FE3F8B" w:rsidRDefault="002D7DC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V této skupině jsou majoritně zastoupeni skladníci, obsluha vysokozdvižných vozíků. Jedná se o fyzicky náročnou práci často v nepřetržitých provozech umístěných na periferiích, kam zaměstnanci musí dojíždět.</w:t>
      </w:r>
      <w:r w:rsidR="00035E91" w:rsidRPr="00FE3F8B">
        <w:rPr>
          <w:rFonts w:cs="Arial"/>
          <w:szCs w:val="24"/>
        </w:rPr>
        <w:t xml:space="preserve"> Rovněž v tomto případě je tedy problematické nízké mzdové ohodnocení v kombinaci s fyzicky náročnou prací, dojížďkou a směnností provozů.</w:t>
      </w:r>
    </w:p>
    <w:p w:rsidR="00035E91" w:rsidRPr="00FE3F8B" w:rsidRDefault="00035E91" w:rsidP="00FE3F8B">
      <w:pPr>
        <w:spacing w:line="240" w:lineRule="auto"/>
        <w:rPr>
          <w:rFonts w:cs="Arial"/>
          <w:szCs w:val="24"/>
        </w:rPr>
      </w:pPr>
    </w:p>
    <w:p w:rsidR="002D7DC2" w:rsidRPr="003A46E7" w:rsidRDefault="002D7DC2" w:rsidP="00FE3F8B">
      <w:pPr>
        <w:spacing w:line="240" w:lineRule="auto"/>
        <w:rPr>
          <w:rFonts w:cs="Arial"/>
          <w:b/>
          <w:i/>
          <w:szCs w:val="24"/>
        </w:rPr>
      </w:pPr>
      <w:r w:rsidRPr="003A46E7">
        <w:rPr>
          <w:rFonts w:cs="Arial"/>
          <w:b/>
          <w:i/>
          <w:szCs w:val="24"/>
        </w:rPr>
        <w:t>Slévači, svářeči a příbuzní pracovníci – CZ ISCO 721</w:t>
      </w:r>
    </w:p>
    <w:p w:rsidR="002D7DC2" w:rsidRPr="00FE3F8B" w:rsidRDefault="002D7DC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V oborech této skupiny povolání hrají významnou roli vysoké nároky zaměstnavatelů, kteří požadují mimo vzdělání v oboru také osvědčení (různé druhy svářečských průkazů) a odpovídající praxi.</w:t>
      </w:r>
      <w:r w:rsidR="00035E91" w:rsidRPr="00FE3F8B">
        <w:rPr>
          <w:rFonts w:cs="Arial"/>
          <w:szCs w:val="24"/>
        </w:rPr>
        <w:t xml:space="preserve"> Projevuje se rovněž nedostatek vhodné pracovní síly v technických profesích, zejména u mladších ročníků.</w:t>
      </w:r>
    </w:p>
    <w:p w:rsidR="00035E91" w:rsidRPr="00FE3F8B" w:rsidRDefault="00035E91" w:rsidP="00FE3F8B">
      <w:pPr>
        <w:spacing w:line="240" w:lineRule="auto"/>
        <w:rPr>
          <w:rFonts w:cs="Arial"/>
          <w:szCs w:val="24"/>
        </w:rPr>
      </w:pPr>
    </w:p>
    <w:p w:rsidR="002D7DC2" w:rsidRPr="003A46E7" w:rsidRDefault="002D7DC2" w:rsidP="00FE3F8B">
      <w:pPr>
        <w:spacing w:line="240" w:lineRule="auto"/>
        <w:rPr>
          <w:rFonts w:cs="Arial"/>
          <w:b/>
          <w:i/>
          <w:szCs w:val="24"/>
        </w:rPr>
      </w:pPr>
      <w:r w:rsidRPr="003A46E7">
        <w:rPr>
          <w:rFonts w:cs="Arial"/>
          <w:b/>
          <w:i/>
          <w:szCs w:val="24"/>
        </w:rPr>
        <w:t>Řemeslníci a kvalifikovaní pracovníci hlavní stavební výroby – CZ ISCO 711</w:t>
      </w:r>
    </w:p>
    <w:p w:rsidR="002D7DC2" w:rsidRPr="00FE3F8B" w:rsidRDefault="002D7DC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Na volné pracovní pozice v této skupině povolání je požadována praxe v oboru, která uchazečům o zaměstnání schází. Dalším významným faktorem je nízká úroveň odměňování a vysoká fluktuace v závislosti na zakázkách.</w:t>
      </w:r>
    </w:p>
    <w:p w:rsidR="00035E91" w:rsidRPr="00FE3F8B" w:rsidRDefault="00035E91" w:rsidP="00FE3F8B">
      <w:pPr>
        <w:spacing w:line="240" w:lineRule="auto"/>
        <w:rPr>
          <w:rFonts w:cs="Arial"/>
          <w:szCs w:val="24"/>
        </w:rPr>
      </w:pPr>
    </w:p>
    <w:p w:rsidR="002D7DC2" w:rsidRPr="003A46E7" w:rsidRDefault="002D7DC2" w:rsidP="00FE3F8B">
      <w:pPr>
        <w:spacing w:line="240" w:lineRule="auto"/>
        <w:rPr>
          <w:rFonts w:cs="Arial"/>
          <w:b/>
          <w:i/>
          <w:szCs w:val="24"/>
        </w:rPr>
      </w:pPr>
      <w:r w:rsidRPr="003A46E7">
        <w:rPr>
          <w:rFonts w:cs="Arial"/>
          <w:b/>
          <w:i/>
          <w:szCs w:val="24"/>
        </w:rPr>
        <w:t>Kuchaři, pomocní kuchaři – CZ ISCO 512</w:t>
      </w:r>
    </w:p>
    <w:p w:rsidR="002D7DC2" w:rsidRPr="00FE3F8B" w:rsidRDefault="002D7DC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Zaměstnavatelé velmi často poukazují na nedostatečnou přípravu absolventů kuchařských oborů.  Z tohoto důvodu požadují praxi v oboru, kterou mnoho uchazečů v evidenci nesplňuje. Dalším faktorem je časté porušování pracovněprávních vztahů, a to zejména v oblasti odměňování (část mzdy dostávají zaměstnanci „na ruku“). V neposlední řadě ovlivňuje poptávku po nabízených pozicích vysoká fluktuace zaměstnanců v závislosti na sezónním vývoji.</w:t>
      </w:r>
    </w:p>
    <w:p w:rsidR="00035E91" w:rsidRPr="00FE3F8B" w:rsidRDefault="00035E91" w:rsidP="00FE3F8B">
      <w:pPr>
        <w:spacing w:line="240" w:lineRule="auto"/>
        <w:rPr>
          <w:rFonts w:cs="Arial"/>
          <w:szCs w:val="24"/>
        </w:rPr>
      </w:pPr>
    </w:p>
    <w:p w:rsidR="002D7DC2" w:rsidRPr="003A46E7" w:rsidRDefault="002D7DC2" w:rsidP="00FE3F8B">
      <w:pPr>
        <w:spacing w:line="240" w:lineRule="auto"/>
        <w:rPr>
          <w:rFonts w:cs="Arial"/>
          <w:b/>
          <w:i/>
          <w:szCs w:val="24"/>
        </w:rPr>
      </w:pPr>
      <w:r w:rsidRPr="003A46E7">
        <w:rPr>
          <w:rFonts w:cs="Arial"/>
          <w:b/>
          <w:i/>
          <w:szCs w:val="24"/>
        </w:rPr>
        <w:t>Prodavači a příbuzní pracovníci v prodejnách – CZ ISCO 522</w:t>
      </w:r>
    </w:p>
    <w:p w:rsidR="002D7DC2" w:rsidRPr="00FE3F8B" w:rsidRDefault="002D7DC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Pracovní pozice v této skupině povolání jsou mnohdy časově náročné (směnnost, práce o víkendech a svátcích), s nízkou úrovní odměňování. Dalším problémem je množství úvazků uzavíraných mimo pracovní poměr.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</w:p>
    <w:p w:rsidR="00EF5DCC" w:rsidRPr="00FE3F8B" w:rsidRDefault="00EF5DCC" w:rsidP="00FE3F8B">
      <w:pPr>
        <w:spacing w:line="240" w:lineRule="auto"/>
        <w:rPr>
          <w:rFonts w:cs="Arial"/>
          <w:b/>
          <w:szCs w:val="24"/>
        </w:rPr>
      </w:pPr>
      <w:r w:rsidRPr="00FE3F8B">
        <w:rPr>
          <w:rFonts w:cs="Arial"/>
          <w:b/>
          <w:szCs w:val="24"/>
        </w:rPr>
        <w:t>2.2 Nejpočetnější skupiny uchazečů o zaměstnání</w:t>
      </w:r>
    </w:p>
    <w:p w:rsidR="00EF5DCC" w:rsidRPr="00FE3F8B" w:rsidRDefault="00EF5DCC" w:rsidP="00FE3F8B">
      <w:pPr>
        <w:spacing w:before="120"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Faktory ovlivňující soulad mezi nabídkou a poptávkou na trhu práce na straně pracovní síly úzce souvisí s faktory uváděnými výše v oblasti poptávky po pracovní síle. Dominují zejména:</w:t>
      </w:r>
    </w:p>
    <w:p w:rsidR="00EF5DCC" w:rsidRPr="008D200F" w:rsidRDefault="00EF5DCC" w:rsidP="00FE3F8B">
      <w:pPr>
        <w:pStyle w:val="Odstavecseseznamem"/>
        <w:numPr>
          <w:ilvl w:val="0"/>
          <w:numId w:val="2"/>
        </w:numPr>
        <w:spacing w:before="120" w:line="240" w:lineRule="auto"/>
        <w:rPr>
          <w:rFonts w:cs="Arial"/>
          <w:b/>
          <w:szCs w:val="24"/>
        </w:rPr>
      </w:pPr>
      <w:r w:rsidRPr="008D200F">
        <w:rPr>
          <w:rFonts w:cs="Arial"/>
          <w:b/>
          <w:szCs w:val="24"/>
        </w:rPr>
        <w:t>neochota pracovní síly akceptovat za stanovených podmínek (mzdové ohodnocení, směnnost) nabízenou pracovní pozici, zejména v synergii s dalšími, zejména sociálními, příjmy domácností (sociální dávky);</w:t>
      </w:r>
    </w:p>
    <w:p w:rsidR="00EF5DCC" w:rsidRPr="008D200F" w:rsidRDefault="00EF5DCC" w:rsidP="00FE3F8B">
      <w:pPr>
        <w:pStyle w:val="Odstavecseseznamem"/>
        <w:numPr>
          <w:ilvl w:val="0"/>
          <w:numId w:val="2"/>
        </w:numPr>
        <w:spacing w:before="120" w:line="240" w:lineRule="auto"/>
        <w:ind w:left="714" w:hanging="357"/>
        <w:contextualSpacing w:val="0"/>
        <w:rPr>
          <w:rFonts w:cs="Arial"/>
          <w:b/>
          <w:szCs w:val="24"/>
        </w:rPr>
      </w:pPr>
      <w:r w:rsidRPr="008D200F">
        <w:rPr>
          <w:rFonts w:cs="Arial"/>
          <w:b/>
          <w:szCs w:val="24"/>
        </w:rPr>
        <w:t>kvalifikace neodpovídající potřebám zaměstnavatelů.</w:t>
      </w:r>
    </w:p>
    <w:p w:rsidR="00EF5DCC" w:rsidRPr="00FE3F8B" w:rsidRDefault="00EF5DCC" w:rsidP="00FE3F8B">
      <w:pPr>
        <w:spacing w:line="240" w:lineRule="auto"/>
        <w:ind w:left="360"/>
        <w:rPr>
          <w:rFonts w:cs="Arial"/>
          <w:szCs w:val="24"/>
        </w:rPr>
      </w:pPr>
    </w:p>
    <w:p w:rsidR="00EF5DCC" w:rsidRPr="008D200F" w:rsidRDefault="00EF5DCC" w:rsidP="00FE3F8B">
      <w:pPr>
        <w:spacing w:line="240" w:lineRule="auto"/>
        <w:rPr>
          <w:rFonts w:cs="Arial"/>
          <w:b/>
          <w:i/>
          <w:szCs w:val="24"/>
        </w:rPr>
      </w:pPr>
      <w:r w:rsidRPr="008D200F">
        <w:rPr>
          <w:rFonts w:cs="Arial"/>
          <w:b/>
          <w:i/>
          <w:szCs w:val="24"/>
        </w:rPr>
        <w:t>Pomocní pracovníci ve výrobě – CZ ISCO 932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Mezi hlavní faktory, které determinují vysoký počet uchazečů o zaměstnání v této skupině, se řadí nízká kvalifikace, nedostatečná praxe a nevyhovující zdravotní stav uchazečů o zaměstnání. Dále to jsou problémy spojené s dojížděním a nesoulad rodinného života se směnným provozem. Stále více zaměstnavatelů požaduje další dovednosti a osvědčení, např. svářečský průkaz nebo oprávnění k obsluze určitého zařízení.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</w:p>
    <w:p w:rsidR="00EF5DCC" w:rsidRPr="008D200F" w:rsidRDefault="00EF5DCC" w:rsidP="00FE3F8B">
      <w:pPr>
        <w:spacing w:line="240" w:lineRule="auto"/>
        <w:rPr>
          <w:rFonts w:cs="Arial"/>
          <w:b/>
          <w:i/>
          <w:szCs w:val="24"/>
        </w:rPr>
      </w:pPr>
      <w:r w:rsidRPr="008D200F">
        <w:rPr>
          <w:rFonts w:cs="Arial"/>
          <w:b/>
          <w:i/>
          <w:szCs w:val="24"/>
        </w:rPr>
        <w:t>Prodavači a příbuzní pracovníci v prodejnách – CZ ISCO 522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O pracovní místa v této skupině povolání žádají převážně ženy, které ovšem nemohou mnohdy spojit péči o děti s časovou náročností zaměstnání. Důležitým faktorem je také množství nekolidujících zaměstnání v tomto oboru.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</w:p>
    <w:p w:rsidR="00EF5DCC" w:rsidRPr="008D200F" w:rsidRDefault="00EF5DCC" w:rsidP="00FE3F8B">
      <w:pPr>
        <w:spacing w:line="240" w:lineRule="auto"/>
        <w:rPr>
          <w:rFonts w:cs="Arial"/>
          <w:b/>
          <w:i/>
          <w:szCs w:val="24"/>
        </w:rPr>
      </w:pPr>
      <w:r w:rsidRPr="008D200F">
        <w:rPr>
          <w:rFonts w:cs="Arial"/>
          <w:b/>
          <w:i/>
          <w:szCs w:val="24"/>
        </w:rPr>
        <w:t>Všeobecní administrativní pracovníci – CZ ISCO 411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Velkým problémem pro uchazeče o zaměstnání, kteří chtějí pracovat v administrativě, je dlouhodobě nízký počet volných pracovních míst v tomto oboru (za celou ČR připadá celkem 11,7 uchazeče o zaměstnání na jedno volné pracovní místo). 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</w:p>
    <w:p w:rsidR="008D200F" w:rsidRDefault="008D200F" w:rsidP="00FE3F8B">
      <w:pPr>
        <w:spacing w:line="240" w:lineRule="auto"/>
        <w:rPr>
          <w:rFonts w:cs="Arial"/>
          <w:i/>
          <w:szCs w:val="24"/>
        </w:rPr>
      </w:pPr>
    </w:p>
    <w:p w:rsidR="008D200F" w:rsidRDefault="008D200F" w:rsidP="00FE3F8B">
      <w:pPr>
        <w:spacing w:line="240" w:lineRule="auto"/>
        <w:rPr>
          <w:rFonts w:cs="Arial"/>
          <w:i/>
          <w:szCs w:val="24"/>
        </w:rPr>
      </w:pPr>
    </w:p>
    <w:p w:rsidR="00EF5DCC" w:rsidRPr="008D200F" w:rsidRDefault="00EF5DCC" w:rsidP="00FE3F8B">
      <w:pPr>
        <w:spacing w:line="240" w:lineRule="auto"/>
        <w:rPr>
          <w:rFonts w:cs="Arial"/>
          <w:b/>
          <w:i/>
          <w:szCs w:val="24"/>
        </w:rPr>
      </w:pPr>
      <w:r w:rsidRPr="008D200F">
        <w:rPr>
          <w:rFonts w:cs="Arial"/>
          <w:b/>
          <w:i/>
          <w:szCs w:val="24"/>
        </w:rPr>
        <w:lastRenderedPageBreak/>
        <w:t xml:space="preserve">Uklízeči a pomocníci – CZ ISCO 911 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Stejně jako v předchozí skupině je i v této ob</w:t>
      </w:r>
      <w:r w:rsidR="00F65933">
        <w:rPr>
          <w:rFonts w:cs="Arial"/>
          <w:szCs w:val="24"/>
        </w:rPr>
        <w:t>lasti výrazný převis uchazečů o </w:t>
      </w:r>
      <w:r w:rsidRPr="00FE3F8B">
        <w:rPr>
          <w:rFonts w:cs="Arial"/>
          <w:szCs w:val="24"/>
        </w:rPr>
        <w:t>zaměstnání nad množstvím nabízených pozic. Zaměstnavatelé preferují zaměstnávání osob zdravotně postižených, z nichž však řada tyto profese nemůže právě s ohledem na svůj zdravotní stav vykonávat.</w:t>
      </w:r>
    </w:p>
    <w:p w:rsidR="00FE3F8B" w:rsidRPr="00FE3F8B" w:rsidRDefault="00FE3F8B" w:rsidP="00FE3F8B">
      <w:pPr>
        <w:spacing w:line="240" w:lineRule="auto"/>
        <w:rPr>
          <w:rFonts w:cs="Arial"/>
          <w:szCs w:val="24"/>
        </w:rPr>
      </w:pPr>
    </w:p>
    <w:p w:rsidR="00FE3F8B" w:rsidRPr="008D200F" w:rsidRDefault="00EF5DCC" w:rsidP="00FE3F8B">
      <w:pPr>
        <w:spacing w:line="240" w:lineRule="auto"/>
        <w:rPr>
          <w:rFonts w:cs="Arial"/>
          <w:b/>
          <w:i/>
          <w:szCs w:val="24"/>
        </w:rPr>
      </w:pPr>
      <w:r w:rsidRPr="008D200F">
        <w:rPr>
          <w:rFonts w:cs="Arial"/>
          <w:b/>
          <w:i/>
          <w:szCs w:val="24"/>
        </w:rPr>
        <w:t>Pracovníci v oblasti ochrany a ostrahy – CZ ISCO 541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Většina uchazečů o zaměstnání v této skupině povolání jsou zároveň osoby zdravotně postižené, které ovšem nesplňují požadavky zaměstnavatelů. Důležitým faktorem je v této skupině také množství nekolidujících zaměstnání.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</w:p>
    <w:p w:rsidR="00EF5DCC" w:rsidRPr="008D200F" w:rsidRDefault="00EF5DCC" w:rsidP="00FE3F8B">
      <w:pPr>
        <w:spacing w:line="240" w:lineRule="auto"/>
        <w:rPr>
          <w:rFonts w:cs="Arial"/>
          <w:b/>
          <w:i/>
          <w:szCs w:val="24"/>
        </w:rPr>
      </w:pPr>
      <w:r w:rsidRPr="008D200F">
        <w:rPr>
          <w:rFonts w:cs="Arial"/>
          <w:b/>
          <w:i/>
          <w:szCs w:val="24"/>
        </w:rPr>
        <w:t>Řemeslníci a kvalifikovaní pracovníci hlavní stavební výroby – CZ ISCO 711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Uchazečům mnohdy schází praxe v oboru a nejsou ochotni přijmout nabízené mzdové podmínky za fyzicky náročnou práci.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</w:p>
    <w:p w:rsidR="00EF5DCC" w:rsidRPr="008D200F" w:rsidRDefault="00EF5DCC" w:rsidP="00FE3F8B">
      <w:pPr>
        <w:spacing w:line="240" w:lineRule="auto"/>
        <w:rPr>
          <w:rFonts w:cs="Arial"/>
          <w:b/>
          <w:i/>
          <w:szCs w:val="24"/>
        </w:rPr>
      </w:pPr>
      <w:r w:rsidRPr="008D200F">
        <w:rPr>
          <w:rFonts w:cs="Arial"/>
          <w:b/>
          <w:i/>
          <w:szCs w:val="24"/>
        </w:rPr>
        <w:t>Řidiči automobilů (kromě nákladních) – CZ ISCO 832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Uchazeči o zaměstnání, kteří vlastní řidičské oprávnění skupiny B, při vstupu do evidence často uvádějí, že chtějí být zaměstnáni jako řidiči osobního automobilu (např. osobní řidič). Těchto míst je na trhu velmi málo a navíc jsou spojena i s dalšími nároky.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</w:p>
    <w:p w:rsidR="00EF5DCC" w:rsidRPr="008D200F" w:rsidRDefault="00EF5DCC" w:rsidP="00FE3F8B">
      <w:pPr>
        <w:spacing w:line="240" w:lineRule="auto"/>
        <w:rPr>
          <w:rFonts w:cs="Arial"/>
          <w:b/>
          <w:i/>
          <w:szCs w:val="24"/>
        </w:rPr>
      </w:pPr>
      <w:r w:rsidRPr="008D200F">
        <w:rPr>
          <w:rFonts w:cs="Arial"/>
          <w:b/>
          <w:i/>
          <w:szCs w:val="24"/>
        </w:rPr>
        <w:t>Číšníci, servírky a barmani – CZ ISCO 513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V této oblasti jsou největšími problémy nekolidující zaměstnání a práce na černo, v neposlední řadě také časová náročnost povolání a praxe v odměňování, kdy zaměstnanci dostávají pouze část celkové odměny na základě uzavřené smlouvy (dohody).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</w:p>
    <w:p w:rsidR="00EF5DCC" w:rsidRPr="008D200F" w:rsidRDefault="00EF5DCC" w:rsidP="00FE3F8B">
      <w:pPr>
        <w:spacing w:line="240" w:lineRule="auto"/>
        <w:rPr>
          <w:rFonts w:cs="Arial"/>
          <w:b/>
          <w:i/>
          <w:szCs w:val="24"/>
        </w:rPr>
      </w:pPr>
      <w:r w:rsidRPr="008D200F">
        <w:rPr>
          <w:rFonts w:cs="Arial"/>
          <w:b/>
          <w:i/>
          <w:szCs w:val="24"/>
        </w:rPr>
        <w:t>Kuchaři, pomocní kuchaři – CZ ISCO 512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Uchazeči, přestože jsou absolventi požadovaného oboru, velmi často nesplňují požadavky zaměstnavatelů a nemají skutečný zájem o práci v oboru. Na druhou stranu řada uchazečů (absolventů) nesplňuje požadovanou praxi.</w:t>
      </w:r>
    </w:p>
    <w:p w:rsidR="00EF5DCC" w:rsidRPr="00FE3F8B" w:rsidRDefault="00EF5DCC" w:rsidP="00FE3F8B">
      <w:pPr>
        <w:spacing w:line="240" w:lineRule="auto"/>
        <w:rPr>
          <w:rFonts w:cs="Arial"/>
          <w:b/>
          <w:szCs w:val="24"/>
        </w:rPr>
      </w:pPr>
    </w:p>
    <w:p w:rsidR="00EF5DCC" w:rsidRPr="008D200F" w:rsidRDefault="00EF5DCC" w:rsidP="00FE3F8B">
      <w:pPr>
        <w:spacing w:line="240" w:lineRule="auto"/>
        <w:rPr>
          <w:rFonts w:cs="Arial"/>
          <w:b/>
          <w:i/>
          <w:szCs w:val="24"/>
        </w:rPr>
      </w:pPr>
      <w:r w:rsidRPr="008D200F">
        <w:rPr>
          <w:rFonts w:cs="Arial"/>
          <w:b/>
          <w:i/>
          <w:szCs w:val="24"/>
        </w:rPr>
        <w:t>Kováři, nástrojáři a příbuzní pracovníci – CZ ISCO 722</w:t>
      </w:r>
    </w:p>
    <w:p w:rsidR="00EF5DCC" w:rsidRPr="00FE3F8B" w:rsidRDefault="00EF5DCC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Uchazeči velmi často nesplňují nároky zaměstnavatelů, a to jak z hlediska znalostí získaných vzděláním, tak osobními předpoklady </w:t>
      </w:r>
      <w:r w:rsidR="00F65933">
        <w:rPr>
          <w:rFonts w:cs="Arial"/>
          <w:szCs w:val="24"/>
        </w:rPr>
        <w:t>a ochotou doplnit si znalosti a </w:t>
      </w:r>
      <w:r w:rsidRPr="00FE3F8B">
        <w:rPr>
          <w:rFonts w:cs="Arial"/>
          <w:szCs w:val="24"/>
        </w:rPr>
        <w:t>dovednosti. Mnoho uchazečů také nesplňuje požadovanou praxi.</w:t>
      </w:r>
    </w:p>
    <w:p w:rsidR="00FE3F8B" w:rsidRPr="00FE3F8B" w:rsidRDefault="00FE3F8B" w:rsidP="00FE3F8B">
      <w:pPr>
        <w:spacing w:after="200" w:line="240" w:lineRule="auto"/>
        <w:jc w:val="left"/>
        <w:rPr>
          <w:rFonts w:cs="Arial"/>
          <w:szCs w:val="24"/>
        </w:rPr>
      </w:pPr>
      <w:r w:rsidRPr="00FE3F8B">
        <w:rPr>
          <w:rFonts w:cs="Arial"/>
          <w:szCs w:val="24"/>
        </w:rPr>
        <w:br w:type="page"/>
      </w:r>
    </w:p>
    <w:p w:rsidR="0089103B" w:rsidRPr="00FE3F8B" w:rsidRDefault="0089103B" w:rsidP="00FE3F8B">
      <w:pPr>
        <w:spacing w:before="120" w:line="240" w:lineRule="auto"/>
        <w:rPr>
          <w:rFonts w:cs="Arial"/>
          <w:b/>
          <w:szCs w:val="24"/>
        </w:rPr>
      </w:pPr>
      <w:r w:rsidRPr="00FE3F8B">
        <w:rPr>
          <w:rFonts w:cs="Arial"/>
          <w:b/>
          <w:szCs w:val="24"/>
        </w:rPr>
        <w:lastRenderedPageBreak/>
        <w:t>2.3 Nejzávažnější problémy související s problematikou</w:t>
      </w:r>
      <w:r w:rsidR="00F65933">
        <w:rPr>
          <w:rFonts w:cs="Arial"/>
          <w:b/>
          <w:szCs w:val="24"/>
        </w:rPr>
        <w:t xml:space="preserve"> nesouladu nabídky a </w:t>
      </w:r>
      <w:r w:rsidRPr="00FE3F8B">
        <w:rPr>
          <w:rFonts w:cs="Arial"/>
          <w:b/>
          <w:szCs w:val="24"/>
        </w:rPr>
        <w:t>poptávky na trhu práce</w:t>
      </w:r>
    </w:p>
    <w:p w:rsidR="008D200F" w:rsidRDefault="0089103B" w:rsidP="00FE3F8B">
      <w:pPr>
        <w:spacing w:before="120"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Z výše uvedeného rozboru situace v oblasti poptáv</w:t>
      </w:r>
      <w:r w:rsidR="00F65933">
        <w:rPr>
          <w:rFonts w:cs="Arial"/>
          <w:szCs w:val="24"/>
        </w:rPr>
        <w:t>aných volných pracovních míst a </w:t>
      </w:r>
      <w:r w:rsidRPr="00FE3F8B">
        <w:rPr>
          <w:rFonts w:cs="Arial"/>
          <w:szCs w:val="24"/>
        </w:rPr>
        <w:t xml:space="preserve">nabídky pracovní síly vyplývají některé zásadní disproporční charakteristiky na českém trhu práce. </w:t>
      </w:r>
    </w:p>
    <w:p w:rsidR="0089103B" w:rsidRDefault="0089103B" w:rsidP="00FE3F8B">
      <w:pPr>
        <w:spacing w:before="120" w:line="240" w:lineRule="auto"/>
        <w:rPr>
          <w:rFonts w:cs="Arial"/>
          <w:b/>
          <w:szCs w:val="24"/>
        </w:rPr>
      </w:pPr>
      <w:r w:rsidRPr="008D200F">
        <w:rPr>
          <w:rFonts w:cs="Arial"/>
          <w:b/>
          <w:szCs w:val="24"/>
        </w:rPr>
        <w:t>Předně se jedná o problémy v oblasti kvalifikace pracovní síly v komparaci s potřebami zaměstnavatelů, otázky podmínek výkonu práce, zejména s ohledem na využívané formy pracovních vztahů a výši odměny za práci. Výrazným problémem jsou rovněž charakteristiky pracovní síly v oblasti zdravotního stavu, sociálního a ekonomického zázemí pracovní síly, zejména s přihlédnutím na sociální systém, exekuce a požadavek pracovní síly na vyšší soulad mezi rodinným a pracovním životem. V neposlední řadě se jako problémové jeví regionální rozložení poptávky a nabídky po pracovní síle</w:t>
      </w:r>
      <w:r w:rsidR="00AA7A14">
        <w:rPr>
          <w:rFonts w:cs="Arial"/>
          <w:b/>
          <w:szCs w:val="24"/>
        </w:rPr>
        <w:t>,</w:t>
      </w:r>
      <w:r w:rsidRPr="008D200F">
        <w:rPr>
          <w:rFonts w:cs="Arial"/>
          <w:b/>
          <w:szCs w:val="24"/>
        </w:rPr>
        <w:t xml:space="preserve"> a to jak na regionální (mezikrajské, meziokresní), tak na lokální úrovni (mezi obcemi) související s problémy dopravní dostupnost</w:t>
      </w:r>
      <w:r w:rsidR="00AA7A14">
        <w:rPr>
          <w:rFonts w:cs="Arial"/>
          <w:b/>
          <w:szCs w:val="24"/>
        </w:rPr>
        <w:t>i</w:t>
      </w:r>
      <w:r w:rsidRPr="008D200F">
        <w:rPr>
          <w:rFonts w:cs="Arial"/>
          <w:b/>
          <w:szCs w:val="24"/>
        </w:rPr>
        <w:t xml:space="preserve"> a nákladovosti dojížďky zejména u nízkopříjmových skupin.</w:t>
      </w:r>
    </w:p>
    <w:p w:rsidR="008D200F" w:rsidRPr="008D200F" w:rsidRDefault="008D200F" w:rsidP="00FE3F8B">
      <w:pPr>
        <w:spacing w:before="120" w:line="240" w:lineRule="auto"/>
        <w:rPr>
          <w:rFonts w:cs="Arial"/>
          <w:b/>
          <w:szCs w:val="24"/>
        </w:rPr>
      </w:pPr>
    </w:p>
    <w:p w:rsidR="0089103B" w:rsidRPr="00FE3F8B" w:rsidRDefault="0089103B" w:rsidP="00FE3F8B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i/>
          <w:szCs w:val="24"/>
        </w:rPr>
      </w:pPr>
      <w:r w:rsidRPr="00FE3F8B">
        <w:rPr>
          <w:rFonts w:cs="Arial"/>
          <w:b/>
          <w:i/>
          <w:szCs w:val="24"/>
        </w:rPr>
        <w:t>Kvalifikace a vzdělání</w:t>
      </w:r>
    </w:p>
    <w:p w:rsidR="0089103B" w:rsidRPr="00FE3F8B" w:rsidRDefault="0089103B" w:rsidP="00FE3F8B">
      <w:pPr>
        <w:spacing w:before="120" w:line="240" w:lineRule="auto"/>
        <w:ind w:left="708"/>
        <w:rPr>
          <w:rFonts w:cs="Arial"/>
          <w:szCs w:val="24"/>
        </w:rPr>
      </w:pPr>
      <w:r w:rsidRPr="00FE3F8B">
        <w:rPr>
          <w:rFonts w:cs="Arial"/>
          <w:szCs w:val="24"/>
        </w:rPr>
        <w:t>Vysoké procento uchazečů o zaměstnání, kterým se nedaří dlouhodobě zprostředkovat zaměstnání</w:t>
      </w:r>
      <w:r w:rsidR="00C175E1" w:rsidRPr="00FE3F8B">
        <w:rPr>
          <w:rFonts w:cs="Arial"/>
          <w:szCs w:val="24"/>
        </w:rPr>
        <w:t>,</w:t>
      </w:r>
      <w:r w:rsidRPr="00FE3F8B">
        <w:rPr>
          <w:rFonts w:cs="Arial"/>
          <w:szCs w:val="24"/>
        </w:rPr>
        <w:t xml:space="preserve"> má </w:t>
      </w:r>
      <w:r w:rsidRPr="008D200F">
        <w:rPr>
          <w:rFonts w:cs="Arial"/>
          <w:b/>
          <w:szCs w:val="24"/>
        </w:rPr>
        <w:t>nízkou úroveň kvalifikace</w:t>
      </w:r>
      <w:r w:rsidRPr="00FE3F8B">
        <w:rPr>
          <w:rFonts w:cs="Arial"/>
          <w:szCs w:val="24"/>
        </w:rPr>
        <w:t xml:space="preserve"> (nejvýše dosažené základní vzdělání), </w:t>
      </w:r>
      <w:r w:rsidRPr="008D200F">
        <w:rPr>
          <w:rFonts w:cs="Arial"/>
          <w:b/>
          <w:szCs w:val="24"/>
        </w:rPr>
        <w:t>popřípadě jejich dříve získaná kvalifikace již neodpovídá soudobým požadavkům trhu práce</w:t>
      </w:r>
      <w:r w:rsidRPr="00FE3F8B">
        <w:rPr>
          <w:rFonts w:cs="Arial"/>
          <w:szCs w:val="24"/>
        </w:rPr>
        <w:t xml:space="preserve">. Situaci se nedaří optimálně řešit ani prostřednictvím rekvalifikačních kurzů, jejichž realizace je v podmínkách současného zákona o veřejných zakázkách neflexibilní (ÚP ČR není schopen </w:t>
      </w:r>
      <w:r w:rsidR="00CA6F34">
        <w:rPr>
          <w:rFonts w:cs="Arial"/>
          <w:szCs w:val="24"/>
        </w:rPr>
        <w:t>pružně</w:t>
      </w:r>
      <w:r w:rsidR="00CA6F34" w:rsidRPr="00FE3F8B">
        <w:rPr>
          <w:rFonts w:cs="Arial"/>
          <w:szCs w:val="24"/>
        </w:rPr>
        <w:t xml:space="preserve"> </w:t>
      </w:r>
      <w:r w:rsidRPr="00FE3F8B">
        <w:rPr>
          <w:rFonts w:cs="Arial"/>
          <w:szCs w:val="24"/>
        </w:rPr>
        <w:t xml:space="preserve">reagovat na poptávku zaměstnavatelů v dostatečně krátkém čase), což determinuje úroveň vzdělávacích rekvalifikačních kurzů spíše na obecně využitelné dovednosti. </w:t>
      </w:r>
      <w:r w:rsidR="00C26B21">
        <w:rPr>
          <w:rFonts w:cs="Arial"/>
          <w:szCs w:val="24"/>
        </w:rPr>
        <w:t xml:space="preserve">Problém se nedaří řešit ani prostřednictvím tzv. zvolených rekvalifikací. </w:t>
      </w:r>
      <w:r w:rsidRPr="00FE3F8B">
        <w:rPr>
          <w:rFonts w:cs="Arial"/>
          <w:szCs w:val="24"/>
        </w:rPr>
        <w:t xml:space="preserve">Jako problematická se jeví rovněž kvalita rekvalifikačních kurzů </w:t>
      </w:r>
      <w:r w:rsidR="00CB04A0">
        <w:rPr>
          <w:rFonts w:cs="Arial"/>
          <w:szCs w:val="24"/>
        </w:rPr>
        <w:t>spojená zejména s kritériem nejnižší ceny ve výběrových řízeních</w:t>
      </w:r>
      <w:r w:rsidR="00AA7A14">
        <w:rPr>
          <w:rFonts w:cs="Arial"/>
          <w:szCs w:val="24"/>
        </w:rPr>
        <w:t>,</w:t>
      </w:r>
      <w:r w:rsidR="00CB04A0">
        <w:rPr>
          <w:rFonts w:cs="Arial"/>
          <w:szCs w:val="24"/>
        </w:rPr>
        <w:t xml:space="preserve"> a skutečnost, že rekvalifikační kurzy nezabezpečují účastníkům získání dostatečných praktických dovedností požadovaných zaměstnavateli.</w:t>
      </w:r>
      <w:r w:rsidRPr="00FE3F8B">
        <w:rPr>
          <w:rFonts w:cs="Arial"/>
          <w:szCs w:val="24"/>
        </w:rPr>
        <w:t xml:space="preserve"> Na tento jev často poukazují zejména zaměstnavatelé nemající dostatečnou důvěru v kvalitu rekvalifikačních kurzů zabezpečovaných ze strany ÚP ČR.</w:t>
      </w:r>
    </w:p>
    <w:p w:rsidR="00DF47B1" w:rsidRPr="00FE3F8B" w:rsidRDefault="0089103B" w:rsidP="00FE3F8B">
      <w:pPr>
        <w:spacing w:before="120" w:line="240" w:lineRule="auto"/>
        <w:ind w:left="708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Výrazná disparita se objevuje zejména </w:t>
      </w:r>
      <w:r w:rsidRPr="008D200F">
        <w:rPr>
          <w:rFonts w:cs="Arial"/>
          <w:b/>
          <w:szCs w:val="24"/>
        </w:rPr>
        <w:t xml:space="preserve">v oblasti </w:t>
      </w:r>
      <w:r w:rsidR="00DF47B1" w:rsidRPr="008D200F">
        <w:rPr>
          <w:rFonts w:cs="Arial"/>
          <w:b/>
          <w:szCs w:val="24"/>
        </w:rPr>
        <w:t>technických oborů, kde v souvislosti s demografickým vývojem a mezigenerační výměnou pracovní síly je znatelný nedostatek kvalifikované pracovní síly odpovídající soudobým potřebám trhu práce.</w:t>
      </w:r>
      <w:r w:rsidR="00DF47B1" w:rsidRPr="00FE3F8B">
        <w:rPr>
          <w:rFonts w:cs="Arial"/>
          <w:szCs w:val="24"/>
        </w:rPr>
        <w:t xml:space="preserve"> Tento nedostatek nelze uspokojivě vyřešit prostřednictvím rekvalifikačních kurzů, neboť potřebné základy pro vybudování personálních kapacit v technických oborech je nutné položit již v systému počátečního vzdělávání.</w:t>
      </w:r>
    </w:p>
    <w:p w:rsidR="00DF47B1" w:rsidRPr="00FE3F8B" w:rsidRDefault="00DF47B1" w:rsidP="00FE3F8B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szCs w:val="24"/>
        </w:rPr>
      </w:pPr>
      <w:r w:rsidRPr="00FE3F8B">
        <w:rPr>
          <w:rFonts w:cs="Arial"/>
          <w:b/>
          <w:i/>
          <w:szCs w:val="24"/>
        </w:rPr>
        <w:t>Pracovní podmínky</w:t>
      </w:r>
      <w:r w:rsidR="00205D3B" w:rsidRPr="00FE3F8B">
        <w:rPr>
          <w:rFonts w:cs="Arial"/>
          <w:b/>
          <w:i/>
          <w:szCs w:val="24"/>
        </w:rPr>
        <w:t xml:space="preserve"> a odměňování</w:t>
      </w:r>
    </w:p>
    <w:p w:rsidR="00DF47B1" w:rsidRPr="00FE3F8B" w:rsidRDefault="00DF47B1" w:rsidP="00FE3F8B">
      <w:pPr>
        <w:spacing w:before="120" w:line="240" w:lineRule="auto"/>
        <w:ind w:left="708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V této skupině vyvstávají </w:t>
      </w:r>
      <w:r w:rsidRPr="008D200F">
        <w:rPr>
          <w:rFonts w:cs="Arial"/>
          <w:b/>
          <w:szCs w:val="24"/>
        </w:rPr>
        <w:t>problémy zejména v oblasti odměňování za vykonanou práci za stanovených podmínek</w:t>
      </w:r>
      <w:r w:rsidRPr="00FE3F8B">
        <w:rPr>
          <w:rFonts w:cs="Arial"/>
          <w:szCs w:val="24"/>
        </w:rPr>
        <w:t xml:space="preserve"> (jak podmínky pracovní, dojížďka, ale i vzájemná synergie mezi sociálním systémem a trhem práce), oblast agenturního zaměstnávání a formy pracovně-právních vztahů.</w:t>
      </w:r>
    </w:p>
    <w:p w:rsidR="00DF47B1" w:rsidRDefault="00DF47B1" w:rsidP="00FE3F8B">
      <w:pPr>
        <w:spacing w:before="120" w:line="240" w:lineRule="auto"/>
        <w:ind w:left="708"/>
        <w:rPr>
          <w:rFonts w:cs="Arial"/>
          <w:szCs w:val="24"/>
        </w:rPr>
      </w:pPr>
      <w:r w:rsidRPr="00FE3F8B">
        <w:rPr>
          <w:rFonts w:cs="Arial"/>
          <w:szCs w:val="24"/>
        </w:rPr>
        <w:lastRenderedPageBreak/>
        <w:t xml:space="preserve">Nejvýrazněji se tato skupina problémů projevuje zejména u profesí s požadavky na nízkou kvalifikaci a tedy i profesí vykonávaných za nízkou finanční odměnu. Problémem je </w:t>
      </w:r>
      <w:r w:rsidRPr="00FE3F8B">
        <w:rPr>
          <w:rFonts w:cs="Arial"/>
          <w:b/>
          <w:szCs w:val="24"/>
        </w:rPr>
        <w:t xml:space="preserve">výše nabízené odměny, která neodpovídá představám </w:t>
      </w:r>
      <w:r w:rsidR="00C175E1" w:rsidRPr="00FE3F8B">
        <w:rPr>
          <w:rFonts w:cs="Arial"/>
          <w:b/>
          <w:szCs w:val="24"/>
        </w:rPr>
        <w:t xml:space="preserve">(ale i potřebám) </w:t>
      </w:r>
      <w:r w:rsidRPr="00FE3F8B">
        <w:rPr>
          <w:rFonts w:cs="Arial"/>
          <w:b/>
          <w:szCs w:val="24"/>
        </w:rPr>
        <w:t>poptávané pracovní síly</w:t>
      </w:r>
      <w:r w:rsidRPr="00FE3F8B">
        <w:rPr>
          <w:rFonts w:cs="Arial"/>
          <w:szCs w:val="24"/>
        </w:rPr>
        <w:t xml:space="preserve">. Výše odměny tak zpravidla není schopna saturovat v porovnání se sociálním příjmem dodatečné náklady zaměstnanců souvisejících s akceptací zaměstnání, jako jsou náklady na dojížďku či náklady nutné k zajištění péče o dítě. </w:t>
      </w:r>
      <w:r w:rsidRPr="00FE3F8B">
        <w:rPr>
          <w:rFonts w:cs="Arial"/>
          <w:b/>
          <w:szCs w:val="24"/>
        </w:rPr>
        <w:t>Problematický je přechod mezi dávkovým systém a zaměstnáním, kdy nízká úroveň mezd není dostatečně motivační k vyvázání se ze závislosti na sociálním příjmu</w:t>
      </w:r>
      <w:r w:rsidRPr="00FE3F8B">
        <w:rPr>
          <w:rFonts w:cs="Arial"/>
          <w:szCs w:val="24"/>
        </w:rPr>
        <w:t xml:space="preserve">. Problematické z tohoto pohledu jsou i pracovní podmínky, zejména směnnost provozu, nabízené formy pracovně-právních vztahů nezakládající pracovní síle dostatečnou jistotu na trhu práce atd. Tyto problémy však vyplývají z charakteru poptávaných prací vysoce závislých na výši zakázek zaměstnavatelů a tedy i nutnosti flexibilně reagovat na hospodářské výkyvy. Důsledkem je pak nadměrné </w:t>
      </w:r>
      <w:r w:rsidRPr="00FE3F8B">
        <w:rPr>
          <w:rFonts w:cs="Arial"/>
          <w:b/>
          <w:szCs w:val="24"/>
        </w:rPr>
        <w:t>využívání agenturního zaměstnávání vedoucí ke ztrátě personální odpovědnosti zaměstnavatelů</w:t>
      </w:r>
      <w:r w:rsidRPr="00FE3F8B">
        <w:rPr>
          <w:rFonts w:cs="Arial"/>
          <w:szCs w:val="24"/>
        </w:rPr>
        <w:t>.</w:t>
      </w:r>
      <w:r w:rsidR="00205D3B" w:rsidRPr="00FE3F8B">
        <w:rPr>
          <w:rFonts w:cs="Arial"/>
          <w:szCs w:val="24"/>
        </w:rPr>
        <w:t xml:space="preserve"> Zejména u mnoha velkých zaměstnavatelů se stává, že podíl agenturních zaměstnanců v provozu je nadpoloviční. Agenturní zaměstnanci jsou taktéž mnohdy zaměstnáni mimo pracovní poměr, což způsobuje výraznou fluktuaci.</w:t>
      </w:r>
    </w:p>
    <w:p w:rsidR="006B14CE" w:rsidRPr="006B14CE" w:rsidRDefault="006B14CE" w:rsidP="006B14CE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i/>
          <w:szCs w:val="24"/>
        </w:rPr>
      </w:pPr>
      <w:r w:rsidRPr="006B14CE">
        <w:rPr>
          <w:rFonts w:cs="Arial"/>
          <w:b/>
          <w:i/>
          <w:szCs w:val="24"/>
        </w:rPr>
        <w:t>Exekuce</w:t>
      </w:r>
    </w:p>
    <w:p w:rsidR="006B14CE" w:rsidRDefault="006B14CE" w:rsidP="00FE3F8B">
      <w:pPr>
        <w:spacing w:before="120" w:line="240" w:lineRule="auto"/>
        <w:ind w:left="708"/>
        <w:rPr>
          <w:rFonts w:cs="Arial"/>
          <w:szCs w:val="24"/>
        </w:rPr>
      </w:pPr>
      <w:r>
        <w:rPr>
          <w:rFonts w:cs="Arial"/>
          <w:szCs w:val="24"/>
        </w:rPr>
        <w:t xml:space="preserve">U některých skupin uchazečů o zaměstnání je výrazným faktorem snižujícím jejich motivaci k přijetí zaměstnání problematika </w:t>
      </w:r>
      <w:r w:rsidR="00DF47B1" w:rsidRPr="00FE3F8B">
        <w:rPr>
          <w:rFonts w:cs="Arial"/>
          <w:b/>
          <w:szCs w:val="24"/>
        </w:rPr>
        <w:t>exekucí a využívání tzv. nekolidujícího zaměstnání</w:t>
      </w:r>
      <w:r w:rsidR="00DF47B1" w:rsidRPr="00FE3F8B">
        <w:rPr>
          <w:rFonts w:cs="Arial"/>
          <w:szCs w:val="24"/>
        </w:rPr>
        <w:t>. V případě exekucí existují bariéry zejména na straně pracovní síly, které z obavy před exekučními srážkami ze mzdy nevyhledává legální výkon práce</w:t>
      </w:r>
      <w:r w:rsidR="00410C85" w:rsidRPr="00FE3F8B">
        <w:rPr>
          <w:rFonts w:cs="Arial"/>
          <w:szCs w:val="24"/>
        </w:rPr>
        <w:t>. Na straně zaměstnavatelů pak nutnost provádět exekuční srážky ze mzdy přispívá k</w:t>
      </w:r>
      <w:r w:rsidR="00F65933">
        <w:rPr>
          <w:rFonts w:cs="Arial"/>
          <w:szCs w:val="24"/>
        </w:rPr>
        <w:t> vyšší administrativní zátěži a </w:t>
      </w:r>
      <w:r w:rsidR="00410C85" w:rsidRPr="00FE3F8B">
        <w:rPr>
          <w:rFonts w:cs="Arial"/>
          <w:szCs w:val="24"/>
        </w:rPr>
        <w:t xml:space="preserve">rovněž ke stigmatizaci potenciálního zaměstnance podléhajícího exekučním srážkám jako k nespolehlivému zaměstnanci. </w:t>
      </w:r>
    </w:p>
    <w:p w:rsidR="006B14CE" w:rsidRPr="006B14CE" w:rsidRDefault="006B14CE" w:rsidP="006B14CE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szCs w:val="24"/>
        </w:rPr>
      </w:pPr>
      <w:r>
        <w:rPr>
          <w:rFonts w:cs="Arial"/>
          <w:b/>
          <w:i/>
          <w:szCs w:val="24"/>
        </w:rPr>
        <w:t>Nekolidující zaměstnání</w:t>
      </w:r>
    </w:p>
    <w:p w:rsidR="00DF47B1" w:rsidRPr="00FE3F8B" w:rsidRDefault="00410C85" w:rsidP="00FE3F8B">
      <w:pPr>
        <w:spacing w:before="120" w:line="240" w:lineRule="auto"/>
        <w:ind w:left="708"/>
        <w:rPr>
          <w:rFonts w:cs="Arial"/>
          <w:szCs w:val="24"/>
        </w:rPr>
      </w:pPr>
      <w:r w:rsidRPr="00FE3F8B">
        <w:rPr>
          <w:rFonts w:cs="Arial"/>
          <w:szCs w:val="24"/>
        </w:rPr>
        <w:t>Výkon (neregulovaného) nekolidujícího zaměstnání</w:t>
      </w:r>
      <w:r w:rsidR="006B14CE">
        <w:rPr>
          <w:rFonts w:cs="Arial"/>
          <w:szCs w:val="24"/>
        </w:rPr>
        <w:t xml:space="preserve">, podle </w:t>
      </w:r>
      <w:r w:rsidR="006B14CE" w:rsidRPr="00FE3F8B">
        <w:rPr>
          <w:rFonts w:cs="Arial"/>
          <w:szCs w:val="24"/>
        </w:rPr>
        <w:t>§ 25 odst. 3 zákona č. 435/2004 Sb., zákona o zaměstnanosti, ve znění pozdějších předpisů</w:t>
      </w:r>
      <w:r w:rsidRPr="00FE3F8B">
        <w:rPr>
          <w:rFonts w:cs="Arial"/>
          <w:szCs w:val="24"/>
        </w:rPr>
        <w:t xml:space="preserve">, využívaný zejména ve skupině povolání </w:t>
      </w:r>
      <w:r w:rsidRPr="00FE3F8B">
        <w:rPr>
          <w:rFonts w:cs="Arial"/>
          <w:i/>
          <w:szCs w:val="24"/>
        </w:rPr>
        <w:t>prodavači a příbuzní pracovníci v</w:t>
      </w:r>
      <w:r w:rsidR="00AA7A14">
        <w:rPr>
          <w:rFonts w:cs="Arial"/>
          <w:i/>
          <w:szCs w:val="24"/>
        </w:rPr>
        <w:t> </w:t>
      </w:r>
      <w:r w:rsidRPr="00FE3F8B">
        <w:rPr>
          <w:rFonts w:cs="Arial"/>
          <w:i/>
          <w:szCs w:val="24"/>
        </w:rPr>
        <w:t>prodeji</w:t>
      </w:r>
      <w:r w:rsidR="00AA7A14">
        <w:rPr>
          <w:rFonts w:cs="Arial"/>
          <w:i/>
          <w:szCs w:val="24"/>
        </w:rPr>
        <w:t>,</w:t>
      </w:r>
      <w:r w:rsidRPr="00FE3F8B">
        <w:rPr>
          <w:rFonts w:cs="Arial"/>
          <w:szCs w:val="24"/>
        </w:rPr>
        <w:t xml:space="preserve"> vytváří bariéru jak na straně zaměstnavatele, pro nějž je zaměstnání osoby na nekolidujícím zaměstnání z důvodu jejího souběžného vedení v evidenci uchazeče o zaměstnání výhodn</w:t>
      </w:r>
      <w:r w:rsidR="00392FA5">
        <w:rPr>
          <w:rFonts w:cs="Arial"/>
          <w:szCs w:val="24"/>
        </w:rPr>
        <w:t>é</w:t>
      </w:r>
      <w:r w:rsidRPr="00FE3F8B">
        <w:rPr>
          <w:rFonts w:cs="Arial"/>
          <w:szCs w:val="24"/>
        </w:rPr>
        <w:t xml:space="preserve"> zejména z ekonomických i</w:t>
      </w:r>
      <w:r w:rsidR="0000359B">
        <w:rPr>
          <w:rFonts w:cs="Arial"/>
          <w:szCs w:val="24"/>
        </w:rPr>
        <w:t> </w:t>
      </w:r>
      <w:r w:rsidRPr="00FE3F8B">
        <w:rPr>
          <w:rFonts w:cs="Arial"/>
          <w:szCs w:val="24"/>
        </w:rPr>
        <w:t xml:space="preserve">administrativních důvodů. Na straně zaměstnance pak </w:t>
      </w:r>
      <w:r w:rsidR="006B14CE">
        <w:rPr>
          <w:rFonts w:cs="Arial"/>
          <w:szCs w:val="24"/>
        </w:rPr>
        <w:t>dlouhodobý výkon nekolidujícího zaměstnání zvyšuje</w:t>
      </w:r>
      <w:r w:rsidRPr="00FE3F8B">
        <w:rPr>
          <w:rFonts w:cs="Arial"/>
          <w:szCs w:val="24"/>
        </w:rPr>
        <w:t xml:space="preserve"> demotivac</w:t>
      </w:r>
      <w:r w:rsidR="006B14CE">
        <w:rPr>
          <w:rFonts w:cs="Arial"/>
          <w:szCs w:val="24"/>
        </w:rPr>
        <w:t>i</w:t>
      </w:r>
      <w:r w:rsidRPr="00FE3F8B">
        <w:rPr>
          <w:rFonts w:cs="Arial"/>
          <w:szCs w:val="24"/>
        </w:rPr>
        <w:t xml:space="preserve"> hledat jiné pracovní uplatnění</w:t>
      </w:r>
      <w:r w:rsidR="00AA7A14">
        <w:rPr>
          <w:rFonts w:cs="Arial"/>
          <w:szCs w:val="24"/>
        </w:rPr>
        <w:t>,</w:t>
      </w:r>
      <w:r w:rsidR="006B14CE">
        <w:rPr>
          <w:rFonts w:cs="Arial"/>
          <w:szCs w:val="24"/>
        </w:rPr>
        <w:t xml:space="preserve"> a</w:t>
      </w:r>
      <w:r w:rsidR="0000359B">
        <w:rPr>
          <w:rFonts w:cs="Arial"/>
          <w:szCs w:val="24"/>
        </w:rPr>
        <w:t> </w:t>
      </w:r>
      <w:r w:rsidR="006B14CE">
        <w:rPr>
          <w:rFonts w:cs="Arial"/>
          <w:szCs w:val="24"/>
        </w:rPr>
        <w:t>to zejména ve spojitosti s dalšími faktory (viz např. výše uvedené exekuční srážky)</w:t>
      </w:r>
      <w:r w:rsidRPr="00FE3F8B">
        <w:rPr>
          <w:rFonts w:cs="Arial"/>
          <w:szCs w:val="24"/>
        </w:rPr>
        <w:t>.</w:t>
      </w:r>
      <w:r w:rsidR="006B14CE">
        <w:rPr>
          <w:rFonts w:cs="Arial"/>
          <w:szCs w:val="24"/>
        </w:rPr>
        <w:t xml:space="preserve"> Výkon neregulovaného nekolidujícího zaměstnání vytváří podmínky pro výkon nelegální práce (část mzdy, která je nad rámec pravidel nekolidujícího zaměstnání může být zaměstnanci vyplácena tzv. </w:t>
      </w:r>
      <w:r w:rsidR="0000359B">
        <w:rPr>
          <w:rFonts w:cs="Arial"/>
          <w:szCs w:val="24"/>
        </w:rPr>
        <w:t>„</w:t>
      </w:r>
      <w:r w:rsidR="006B14CE">
        <w:rPr>
          <w:rFonts w:cs="Arial"/>
          <w:szCs w:val="24"/>
        </w:rPr>
        <w:t>na r</w:t>
      </w:r>
      <w:r w:rsidR="0000359B">
        <w:rPr>
          <w:rFonts w:cs="Arial"/>
          <w:szCs w:val="24"/>
        </w:rPr>
        <w:t>u</w:t>
      </w:r>
      <w:r w:rsidR="006B14CE">
        <w:rPr>
          <w:rFonts w:cs="Arial"/>
          <w:szCs w:val="24"/>
        </w:rPr>
        <w:t>ku</w:t>
      </w:r>
      <w:r w:rsidR="0000359B">
        <w:rPr>
          <w:rFonts w:cs="Arial"/>
          <w:szCs w:val="24"/>
        </w:rPr>
        <w:t>“</w:t>
      </w:r>
      <w:r w:rsidR="00F65933">
        <w:rPr>
          <w:rFonts w:cs="Arial"/>
          <w:szCs w:val="24"/>
        </w:rPr>
        <w:t xml:space="preserve"> a </w:t>
      </w:r>
      <w:r w:rsidR="006B14CE">
        <w:rPr>
          <w:rFonts w:cs="Arial"/>
          <w:szCs w:val="24"/>
        </w:rPr>
        <w:t>plně tak nahrazovat standardní pracovní činnost, resp. pracovní poměr).</w:t>
      </w:r>
    </w:p>
    <w:p w:rsidR="00410C85" w:rsidRPr="00FE3F8B" w:rsidRDefault="00410C85" w:rsidP="00FE3F8B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szCs w:val="24"/>
        </w:rPr>
      </w:pPr>
      <w:r w:rsidRPr="00FE3F8B">
        <w:rPr>
          <w:rFonts w:cs="Arial"/>
          <w:b/>
          <w:i/>
          <w:szCs w:val="24"/>
        </w:rPr>
        <w:t xml:space="preserve">Zdravotní </w:t>
      </w:r>
      <w:r w:rsidR="00C175E1" w:rsidRPr="00FE3F8B">
        <w:rPr>
          <w:rFonts w:cs="Arial"/>
          <w:b/>
          <w:i/>
          <w:szCs w:val="24"/>
        </w:rPr>
        <w:t>stav</w:t>
      </w:r>
    </w:p>
    <w:p w:rsidR="00410C85" w:rsidRPr="00FE3F8B" w:rsidRDefault="00410C85" w:rsidP="00FE3F8B">
      <w:pPr>
        <w:spacing w:before="120" w:line="240" w:lineRule="auto"/>
        <w:ind w:left="708"/>
        <w:rPr>
          <w:rFonts w:cs="Arial"/>
          <w:szCs w:val="24"/>
        </w:rPr>
      </w:pPr>
      <w:r w:rsidRPr="003020BF">
        <w:rPr>
          <w:rFonts w:cs="Arial"/>
          <w:b/>
          <w:szCs w:val="24"/>
        </w:rPr>
        <w:t>Zdravotní stav bývá objektivní bariérou bránící osobě ve vstupu na trh práce</w:t>
      </w:r>
      <w:r w:rsidR="00AA7A14">
        <w:rPr>
          <w:rFonts w:cs="Arial"/>
          <w:b/>
          <w:szCs w:val="24"/>
        </w:rPr>
        <w:t>,</w:t>
      </w:r>
      <w:r w:rsidRPr="00FE3F8B">
        <w:rPr>
          <w:rFonts w:cs="Arial"/>
          <w:szCs w:val="24"/>
        </w:rPr>
        <w:t xml:space="preserve"> a to i v případě, kdy splňuje kvalifikační požadavky zaměstnavatele. Důvody jsou jak objektivní – nemožnost s ohledem na zdravotní stav </w:t>
      </w:r>
      <w:r w:rsidRPr="00FE3F8B">
        <w:rPr>
          <w:rFonts w:cs="Arial"/>
          <w:szCs w:val="24"/>
        </w:rPr>
        <w:lastRenderedPageBreak/>
        <w:t xml:space="preserve">vykonávat příslušné povolání, tak subjektivní – zejména obava z výkonnosti osob se zdravotním postižením na straně zaměstnavatelů, ale i zaměstnanců. Z výše uvedeného rozboru vyplývá, že zásadní disproporce spočívá v oblasti skupiny povolání v oblasti </w:t>
      </w:r>
      <w:r w:rsidRPr="00FE3F8B">
        <w:rPr>
          <w:rFonts w:cs="Arial"/>
          <w:i/>
          <w:szCs w:val="24"/>
        </w:rPr>
        <w:t>Pracovníci v oblasti ochrany a ostrahy</w:t>
      </w:r>
      <w:r w:rsidRPr="00FE3F8B">
        <w:rPr>
          <w:rFonts w:cs="Arial"/>
          <w:szCs w:val="24"/>
        </w:rPr>
        <w:t xml:space="preserve">, kde </w:t>
      </w:r>
      <w:r w:rsidR="0044013B" w:rsidRPr="00FE3F8B">
        <w:rPr>
          <w:rFonts w:cs="Arial"/>
          <w:szCs w:val="24"/>
        </w:rPr>
        <w:t xml:space="preserve">zaměstnavatelé preferují osoby se zdravotním postižením. Uvedená povolání však mohou vykonávat pouze některé skupiny osob se zdravotním postižením a aktuální nabídka pracovní síly proto není schopna zvýšenou poptávku saturovat. </w:t>
      </w:r>
    </w:p>
    <w:p w:rsidR="00205D3B" w:rsidRPr="00FE3F8B" w:rsidRDefault="00205D3B" w:rsidP="00FE3F8B">
      <w:pPr>
        <w:spacing w:before="120" w:line="240" w:lineRule="auto"/>
        <w:ind w:left="708"/>
        <w:rPr>
          <w:rFonts w:cs="Arial"/>
          <w:szCs w:val="24"/>
        </w:rPr>
      </w:pPr>
      <w:r w:rsidRPr="00434D05">
        <w:rPr>
          <w:rFonts w:cs="Arial"/>
          <w:b/>
          <w:szCs w:val="24"/>
        </w:rPr>
        <w:t>Uchazeči často dokládají, že jejich zdravotní stav neodpovídá požadavkům na nabízenou pracovní pozici. Velmi významnou roli zde sehrává nemožnost kontroly lékařů, vydávajících předmětné doklady</w:t>
      </w:r>
      <w:r w:rsidRPr="00FE3F8B">
        <w:rPr>
          <w:rFonts w:cs="Arial"/>
          <w:szCs w:val="24"/>
        </w:rPr>
        <w:t>. Uchazeči nad 50 let věku vzhledem ke svému zdravotnímu stavu odmítají manuální a jinak fyzicky náročné pracovní nabídky.</w:t>
      </w:r>
    </w:p>
    <w:p w:rsidR="00C175E1" w:rsidRPr="00FE3F8B" w:rsidRDefault="00C175E1" w:rsidP="00FE3F8B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szCs w:val="24"/>
        </w:rPr>
      </w:pPr>
      <w:r w:rsidRPr="00FE3F8B">
        <w:rPr>
          <w:rFonts w:cs="Arial"/>
          <w:b/>
          <w:i/>
          <w:szCs w:val="24"/>
        </w:rPr>
        <w:t>Regionální disproporce</w:t>
      </w:r>
    </w:p>
    <w:p w:rsidR="00F216F9" w:rsidRDefault="00C175E1" w:rsidP="00FE3F8B">
      <w:pPr>
        <w:spacing w:before="120" w:line="240" w:lineRule="auto"/>
        <w:ind w:left="708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Jedním z výrazných aspektů ovlivňujících fungování trhu práce jsou regionální disproporce mezi nabídkou a poptávkou po pracovní síle a </w:t>
      </w:r>
      <w:r w:rsidRPr="00FE3F8B">
        <w:rPr>
          <w:rFonts w:cs="Arial"/>
          <w:b/>
          <w:szCs w:val="24"/>
        </w:rPr>
        <w:t>nízká regionální mobilita pracovní síly.</w:t>
      </w:r>
      <w:r w:rsidRPr="00FE3F8B">
        <w:rPr>
          <w:rFonts w:cs="Arial"/>
          <w:szCs w:val="24"/>
        </w:rPr>
        <w:t xml:space="preserve"> Ta je spojená jak s neochotou pracovníků stěhovat se za prací (zejména na úrovni mezikrajské), tak ale i s neochotou dojíždět do zaměstnání buďto v rámci okresu či na meziokresní úrovni. Důvody jsou jak časové, tak zejména v případě nízkopříjmových skupin povolání, kde je disproporce mezi nabídkou a poptávkou markantní, důvody ekonomické. </w:t>
      </w:r>
      <w:r w:rsidR="00F049EE">
        <w:rPr>
          <w:rFonts w:cs="Arial"/>
          <w:szCs w:val="24"/>
        </w:rPr>
        <w:t>Regionální disproporce mezi nabídkou a poptávkou</w:t>
      </w:r>
      <w:r w:rsidRPr="00FE3F8B">
        <w:rPr>
          <w:rFonts w:cs="Arial"/>
          <w:szCs w:val="24"/>
        </w:rPr>
        <w:t xml:space="preserve"> pak v periferních regionech může </w:t>
      </w:r>
      <w:r w:rsidR="00F049EE">
        <w:rPr>
          <w:rFonts w:cs="Arial"/>
          <w:szCs w:val="24"/>
        </w:rPr>
        <w:t>podtrhovat</w:t>
      </w:r>
      <w:r w:rsidRPr="00FE3F8B">
        <w:rPr>
          <w:rFonts w:cs="Arial"/>
          <w:szCs w:val="24"/>
        </w:rPr>
        <w:t xml:space="preserve"> nedostatečně rozvinut</w:t>
      </w:r>
      <w:r w:rsidR="00F049EE">
        <w:rPr>
          <w:rFonts w:cs="Arial"/>
          <w:szCs w:val="24"/>
        </w:rPr>
        <w:t>á</w:t>
      </w:r>
      <w:r w:rsidRPr="00FE3F8B">
        <w:rPr>
          <w:rFonts w:cs="Arial"/>
          <w:szCs w:val="24"/>
        </w:rPr>
        <w:t xml:space="preserve"> dopravní obslužnost.</w:t>
      </w:r>
    </w:p>
    <w:p w:rsidR="00F216F9" w:rsidRPr="00F216F9" w:rsidRDefault="00F216F9" w:rsidP="00F216F9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i/>
          <w:szCs w:val="24"/>
        </w:rPr>
      </w:pPr>
      <w:r w:rsidRPr="00F216F9">
        <w:rPr>
          <w:rFonts w:cs="Arial"/>
          <w:b/>
          <w:i/>
          <w:szCs w:val="24"/>
        </w:rPr>
        <w:t>Genderové disproporce</w:t>
      </w:r>
    </w:p>
    <w:p w:rsidR="00C175E1" w:rsidRPr="00FE3F8B" w:rsidRDefault="00F216F9" w:rsidP="00F216F9">
      <w:pPr>
        <w:spacing w:before="120" w:line="240" w:lineRule="auto"/>
        <w:ind w:left="708"/>
        <w:rPr>
          <w:rFonts w:cs="Arial"/>
          <w:szCs w:val="24"/>
        </w:rPr>
      </w:pPr>
      <w:r w:rsidRPr="00F216F9">
        <w:rPr>
          <w:rFonts w:cs="Arial"/>
          <w:szCs w:val="24"/>
        </w:rPr>
        <w:t>Disproporce mezi nabídkou a po</w:t>
      </w:r>
      <w:r>
        <w:rPr>
          <w:rFonts w:cs="Arial"/>
          <w:szCs w:val="24"/>
        </w:rPr>
        <w:t>p</w:t>
      </w:r>
      <w:r w:rsidRPr="00F216F9">
        <w:rPr>
          <w:rFonts w:cs="Arial"/>
          <w:szCs w:val="24"/>
        </w:rPr>
        <w:t xml:space="preserve">távkou na trhu práce je rovněž podtrhována genderovou segregací trhu práce, kdy řada nejčastěji poptávaných profesí vyžaduje manuální těžkou fyzickou práci nevhodnou pro ženy. V jiných skupinách (např. prodavači) pak s ohledem na </w:t>
      </w:r>
      <w:r w:rsidR="00AA7A14">
        <w:rPr>
          <w:rFonts w:cs="Arial"/>
          <w:szCs w:val="24"/>
        </w:rPr>
        <w:t xml:space="preserve">svůj </w:t>
      </w:r>
      <w:r w:rsidRPr="00F216F9">
        <w:rPr>
          <w:rFonts w:cs="Arial"/>
          <w:szCs w:val="24"/>
        </w:rPr>
        <w:t xml:space="preserve">charakter </w:t>
      </w:r>
      <w:r w:rsidR="00AA7A14">
        <w:rPr>
          <w:rFonts w:cs="Arial"/>
          <w:szCs w:val="24"/>
        </w:rPr>
        <w:t xml:space="preserve">není </w:t>
      </w:r>
      <w:r w:rsidRPr="00F216F9">
        <w:rPr>
          <w:rFonts w:cs="Arial"/>
          <w:szCs w:val="24"/>
        </w:rPr>
        <w:t>povolání (směnné provozy atd</w:t>
      </w:r>
      <w:r>
        <w:rPr>
          <w:rFonts w:cs="Arial"/>
          <w:szCs w:val="24"/>
        </w:rPr>
        <w:t>.</w:t>
      </w:r>
      <w:r w:rsidRPr="00F216F9">
        <w:rPr>
          <w:rFonts w:cs="Arial"/>
          <w:szCs w:val="24"/>
        </w:rPr>
        <w:t>) slučitelné s rodinným životem a výrazně tak limituje ženy v přístupu k zaměstnání. Na českém trhu práce dále existuje vý</w:t>
      </w:r>
      <w:r>
        <w:rPr>
          <w:rFonts w:cs="Arial"/>
          <w:szCs w:val="24"/>
        </w:rPr>
        <w:t>r</w:t>
      </w:r>
      <w:r w:rsidRPr="00F216F9">
        <w:rPr>
          <w:rFonts w:cs="Arial"/>
          <w:szCs w:val="24"/>
        </w:rPr>
        <w:t>azně nízká nabídka flexibilních forem zaměstnání, které by nebyly svým charakterem zaměstnáními prekérními</w:t>
      </w:r>
      <w:r>
        <w:rPr>
          <w:rFonts w:cs="Arial"/>
          <w:szCs w:val="24"/>
        </w:rPr>
        <w:t xml:space="preserve"> (ve smyslu nízké úrovně odměňování)</w:t>
      </w:r>
      <w:r w:rsidRPr="00F216F9">
        <w:rPr>
          <w:rFonts w:cs="Arial"/>
          <w:szCs w:val="24"/>
        </w:rPr>
        <w:t xml:space="preserve"> a byly by tak vhodné pro ženy pečující o děti. Jak vyplývá z tabulky popisující nejčastěji poptávané profese, pak se jedná zejména o profese vhodné pro muže, což v komparaci s vyšším zastou</w:t>
      </w:r>
      <w:r w:rsidR="00F65933">
        <w:rPr>
          <w:rFonts w:cs="Arial"/>
          <w:szCs w:val="24"/>
        </w:rPr>
        <w:t>pením žen v evidenci uchazečů o </w:t>
      </w:r>
      <w:r w:rsidRPr="00F216F9">
        <w:rPr>
          <w:rFonts w:cs="Arial"/>
          <w:szCs w:val="24"/>
        </w:rPr>
        <w:t>zaměstnání podtrhuje disproporci na trhu práce</w:t>
      </w:r>
      <w:r>
        <w:rPr>
          <w:rFonts w:cs="Arial"/>
          <w:szCs w:val="24"/>
        </w:rPr>
        <w:t>.</w:t>
      </w:r>
      <w:r w:rsidR="00C175E1" w:rsidRPr="00FE3F8B">
        <w:rPr>
          <w:rFonts w:cs="Arial"/>
          <w:szCs w:val="24"/>
        </w:rPr>
        <w:t xml:space="preserve"> </w:t>
      </w:r>
    </w:p>
    <w:p w:rsidR="00BA4913" w:rsidRDefault="00BA4913" w:rsidP="00FE3F8B">
      <w:pPr>
        <w:spacing w:after="200" w:line="240" w:lineRule="auto"/>
        <w:jc w:val="left"/>
        <w:rPr>
          <w:rFonts w:cs="Arial"/>
          <w:szCs w:val="24"/>
        </w:rPr>
      </w:pPr>
    </w:p>
    <w:p w:rsidR="00BA4913" w:rsidRDefault="00BA4913" w:rsidP="00FE3F8B">
      <w:pPr>
        <w:spacing w:after="200" w:line="240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2.4 Historické porovnání</w:t>
      </w:r>
    </w:p>
    <w:p w:rsidR="001F6AD5" w:rsidRDefault="00BA4913" w:rsidP="00BA4913">
      <w:p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Jak bylo uvedeno v kapitole 1.2 popisující historický vývoj nabídky a poptávky na trhu práce, došlo k situaci obdobné té aktuální v roce 2006. V tomto roce byla minimální mzda upravena nařízením vlády č. 303/1995 Sb., o minimální mzdě a stanovena na hodnotu 7 955 Kč měsíčně, přičemž pro některé skupiny zaměstnanců (mladí, osoby invalidní</w:t>
      </w:r>
      <w:r w:rsidR="00165814">
        <w:rPr>
          <w:rFonts w:cs="Arial"/>
          <w:szCs w:val="24"/>
        </w:rPr>
        <w:t>) byla stanovena sazba nižší. Průměrná měsíční mzda v roce 2006 dle dat Českého statistického úřadu dosahovala hodnoty 19 546 Kč. Minimální mzda se tedy pohybovala na hladině 40 % mzdy průměrné</w:t>
      </w:r>
      <w:r w:rsidR="001F6AD5">
        <w:rPr>
          <w:rFonts w:cs="Arial"/>
          <w:szCs w:val="24"/>
        </w:rPr>
        <w:t xml:space="preserve"> a do roku 2006 byla průběžně každoročně navyšována</w:t>
      </w:r>
      <w:r w:rsidR="00165814">
        <w:rPr>
          <w:rFonts w:cs="Arial"/>
          <w:szCs w:val="24"/>
        </w:rPr>
        <w:t xml:space="preserve">. </w:t>
      </w:r>
      <w:r w:rsidR="001F6AD5">
        <w:rPr>
          <w:rFonts w:cs="Arial"/>
          <w:szCs w:val="24"/>
        </w:rPr>
        <w:t>Mezi lety 2006 až</w:t>
      </w:r>
      <w:r w:rsidR="00165814">
        <w:rPr>
          <w:rFonts w:cs="Arial"/>
          <w:szCs w:val="24"/>
        </w:rPr>
        <w:t xml:space="preserve"> 2013 </w:t>
      </w:r>
      <w:r w:rsidR="001F6AD5">
        <w:rPr>
          <w:rFonts w:cs="Arial"/>
          <w:szCs w:val="24"/>
        </w:rPr>
        <w:t xml:space="preserve">však výše minimální mzdy </w:t>
      </w:r>
      <w:r w:rsidR="00165814">
        <w:rPr>
          <w:rFonts w:cs="Arial"/>
          <w:szCs w:val="24"/>
        </w:rPr>
        <w:t xml:space="preserve">stagnovala, což při zvyšování průměrné mzdy vedlo ke snižování motivace pracovní </w:t>
      </w:r>
      <w:r w:rsidR="00165814">
        <w:rPr>
          <w:rFonts w:cs="Arial"/>
          <w:szCs w:val="24"/>
        </w:rPr>
        <w:lastRenderedPageBreak/>
        <w:t>síly akceptovat zaměstnání jako zdroj obživy a k nedostatečnému rozevření nůžek mezi příjmem ze zaměstnání a příjmem sociálním. V roce 2014, kdy se začala projevovat zlepšující se situace na trhu práce</w:t>
      </w:r>
      <w:r w:rsidR="001F6AD5">
        <w:rPr>
          <w:rFonts w:cs="Arial"/>
          <w:szCs w:val="24"/>
        </w:rPr>
        <w:t>,</w:t>
      </w:r>
      <w:r w:rsidR="00165814">
        <w:rPr>
          <w:rFonts w:cs="Arial"/>
          <w:szCs w:val="24"/>
        </w:rPr>
        <w:t xml:space="preserve"> činila minimální mzda 8 500 Kč, což činilo 33 % mzdy průměrné</w:t>
      </w:r>
      <w:r w:rsidR="001F6AD5">
        <w:rPr>
          <w:rFonts w:cs="Arial"/>
          <w:szCs w:val="24"/>
        </w:rPr>
        <w:t>. Vláda České republiky se proto zavázala valorizovat výši minimální mzdy a přispět tak ke zvýšení motivace, zejména nízko příjmových skupin osob, při vstupu do zaměstnání.</w:t>
      </w:r>
    </w:p>
    <w:p w:rsidR="00E807ED" w:rsidRDefault="001F6AD5" w:rsidP="00BA4913">
      <w:p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V roce 2004 nabyl účinnosti zákon č. 435/2004 Sb., o zaměstnanosti. Jeho součástí se stal</w:t>
      </w:r>
      <w:r w:rsidR="00F049E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nástroje aktivní politiky zaměstnanosti, které</w:t>
      </w:r>
      <w:r w:rsidR="00F65933">
        <w:rPr>
          <w:rFonts w:cs="Arial"/>
          <w:szCs w:val="24"/>
        </w:rPr>
        <w:t xml:space="preserve"> jsou pro vyrovnávání nabídky a </w:t>
      </w:r>
      <w:r>
        <w:rPr>
          <w:rFonts w:cs="Arial"/>
          <w:szCs w:val="24"/>
        </w:rPr>
        <w:t xml:space="preserve">poptávky využívány s jistými obnovami dodnes. V roce 2006 byl mimo jiné součástí nástrojů aktivní politiky zaměstnanosti pod § 115 příspěvek na dopravu. </w:t>
      </w:r>
      <w:r w:rsidRPr="001F6AD5">
        <w:rPr>
          <w:rFonts w:cs="Arial"/>
          <w:szCs w:val="24"/>
        </w:rPr>
        <w:t xml:space="preserve">V této podobě byl příspěvek na dopravu zaměstnanců poskytován zaměstnavateli na základě dohody s úřadem práce, jestliže tento zabezpečoval pro své zaměstnance každodenní dopravu. Podmínkou byla neexistence dopravního spojení či jeho nevhodnost pro potřeby zaměstnavatele. Příspěvek se poskytoval ve výši 50 % vynaložených výdajů na dopravu, v případě dopravy OZP s těžším zdravotním postižením pak 100 % nákladů. U této formy podpory regionální mobility byla problematická zejména návaznost na zaměstnavatele, obtížné prokazování výdajů </w:t>
      </w:r>
      <w:r w:rsidR="00F65933">
        <w:rPr>
          <w:rFonts w:cs="Arial"/>
          <w:szCs w:val="24"/>
        </w:rPr>
        <w:t>a </w:t>
      </w:r>
      <w:r w:rsidRPr="001F6AD5">
        <w:rPr>
          <w:rFonts w:cs="Arial"/>
          <w:szCs w:val="24"/>
        </w:rPr>
        <w:t>zvýšená administrativa. Za nevhodné lze rovněž označit skutečnost, že dopravu musel zabezpečit zaměstnavatel a příspěvek proto nebyl vhodný pro motivaci uchazečů o zaměstnání a v případech drobných zaměstnavatelů</w:t>
      </w:r>
      <w:r>
        <w:rPr>
          <w:rFonts w:cs="Arial"/>
          <w:szCs w:val="24"/>
        </w:rPr>
        <w:t>.</w:t>
      </w:r>
      <w:r w:rsidR="00E807ED">
        <w:rPr>
          <w:rFonts w:cs="Arial"/>
          <w:szCs w:val="24"/>
        </w:rPr>
        <w:t xml:space="preserve"> Příspěvek byl následně s účinností od 1. ledna 2009 zrušen, neboť se ve své p</w:t>
      </w:r>
      <w:r w:rsidR="008D32A2">
        <w:rPr>
          <w:rFonts w:cs="Arial"/>
          <w:szCs w:val="24"/>
        </w:rPr>
        <w:t xml:space="preserve">odobě ukázal jako neflexibilní, což se projevilo v jeho snižujícím se využívání (v roce 2005 – 3 609 osob, 2006 – 2 085 osob, 2007 – 1 350 osob, 2008 – 999 osob). </w:t>
      </w:r>
      <w:r w:rsidR="00E807ED">
        <w:rPr>
          <w:rFonts w:cs="Arial"/>
          <w:szCs w:val="24"/>
        </w:rPr>
        <w:t>V situaci zvýšených požadavků na efektivní distribuci pracovní síly je navrhováno jeho opětovné zavedení, nicméně již ne jako nástroj určený k podpoře zaměstnavatelů, ale jako nástroj zvyšující motivaci pracovní síly, neboť primárně u ní lze nalézt bariéry (zejména ekonomické) bránící jí nalézat pracovní uplatnění mimo místo svého bydliště.</w:t>
      </w:r>
    </w:p>
    <w:p w:rsidR="000626D5" w:rsidRPr="00FE3F8B" w:rsidRDefault="00E807ED" w:rsidP="00E807ED">
      <w:p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Zákon č. 435/2004 Sb., rovněž zavedl tzv. nekolidující zaměstnání podle § 25 odst. 3 tohoto zákona. </w:t>
      </w:r>
      <w:r w:rsidRPr="00E807ED">
        <w:rPr>
          <w:rFonts w:cs="Arial"/>
          <w:szCs w:val="24"/>
        </w:rPr>
        <w:t>Cílem této právní úpravy bylo umožnit zachování pracovních návyků uchazeče o zaměstnání, případně jejich získání, a podpoření snahy o zvýšení příjmu vlastní prací.</w:t>
      </w:r>
      <w:r>
        <w:rPr>
          <w:rFonts w:cs="Arial"/>
          <w:szCs w:val="24"/>
        </w:rPr>
        <w:t xml:space="preserve"> V roce 2006 využívalo nekolidující</w:t>
      </w:r>
      <w:r w:rsidR="00F65933">
        <w:rPr>
          <w:rFonts w:cs="Arial"/>
          <w:szCs w:val="24"/>
        </w:rPr>
        <w:t>ho zaměstnání 24 583 uchazečů o </w:t>
      </w:r>
      <w:r>
        <w:rPr>
          <w:rFonts w:cs="Arial"/>
          <w:szCs w:val="24"/>
        </w:rPr>
        <w:t xml:space="preserve">zaměstnání. </w:t>
      </w:r>
      <w:r w:rsidR="00A12465">
        <w:rPr>
          <w:rFonts w:cs="Arial"/>
          <w:szCs w:val="24"/>
        </w:rPr>
        <w:t>Významný</w:t>
      </w:r>
      <w:r>
        <w:rPr>
          <w:rFonts w:cs="Arial"/>
          <w:szCs w:val="24"/>
        </w:rPr>
        <w:t xml:space="preserve"> nárůst nekolidujícího zaměstnání lze však sledovat </w:t>
      </w:r>
      <w:r w:rsidR="00A12465">
        <w:rPr>
          <w:rFonts w:cs="Arial"/>
          <w:szCs w:val="24"/>
        </w:rPr>
        <w:t xml:space="preserve">v letech 2009 a 2010 pravděpodobně v důsledku </w:t>
      </w:r>
      <w:r w:rsidR="00F65933">
        <w:rPr>
          <w:rFonts w:cs="Arial"/>
          <w:szCs w:val="24"/>
        </w:rPr>
        <w:t>krize (zvýšení počtu uchazečů o </w:t>
      </w:r>
      <w:r w:rsidR="00A12465">
        <w:rPr>
          <w:rFonts w:cs="Arial"/>
          <w:szCs w:val="24"/>
        </w:rPr>
        <w:t>zaměstnání a optimalizace mzdových nákladů zaměstnavatelů). Rapidní nárůst je však sledován v letech 2014 (70 729 uchazečů o zaměstnání), pokračující i v roce 2015, kdy jen od ledna do května využívalo nekolidujícího zaměstnání 70 231 uchazečů</w:t>
      </w:r>
      <w:r w:rsidR="00AA7A14">
        <w:rPr>
          <w:rFonts w:cs="Arial"/>
          <w:szCs w:val="24"/>
        </w:rPr>
        <w:t>,</w:t>
      </w:r>
      <w:r w:rsidR="00A12465">
        <w:rPr>
          <w:rFonts w:cs="Arial"/>
          <w:szCs w:val="24"/>
        </w:rPr>
        <w:t xml:space="preserve"> a to za situace obecného poklesu počtu uchazečů o zaměstnání. Z výrazného zvýšení podílu uchazečů o zaměstnání pracujících na nekolidujícím zaměstnání a ze změny jejich charakteru (dlouhodobý výkon) lze usoudit na ztrátu původního účelu opatření a jeho disfunkci charakterizovanou nahrazováním standardního pracovně-právního poměru.</w:t>
      </w:r>
      <w:r w:rsidR="000626D5" w:rsidRPr="00FE3F8B">
        <w:rPr>
          <w:rFonts w:cs="Arial"/>
          <w:szCs w:val="24"/>
        </w:rPr>
        <w:br w:type="page"/>
      </w:r>
    </w:p>
    <w:p w:rsidR="00205D3B" w:rsidRPr="00FE3F8B" w:rsidRDefault="00FE3F8B" w:rsidP="00FE3F8B">
      <w:pPr>
        <w:pStyle w:val="Odstavecseseznamem"/>
        <w:numPr>
          <w:ilvl w:val="0"/>
          <w:numId w:val="6"/>
        </w:numPr>
        <w:spacing w:before="120" w:line="240" w:lineRule="auto"/>
        <w:jc w:val="center"/>
        <w:rPr>
          <w:rFonts w:cs="Arial"/>
          <w:b/>
          <w:sz w:val="28"/>
          <w:szCs w:val="24"/>
          <w:u w:val="single"/>
        </w:rPr>
      </w:pPr>
      <w:r w:rsidRPr="00FE3F8B">
        <w:rPr>
          <w:rFonts w:cs="Arial"/>
          <w:b/>
          <w:sz w:val="28"/>
          <w:szCs w:val="24"/>
          <w:u w:val="single"/>
        </w:rPr>
        <w:lastRenderedPageBreak/>
        <w:t>S</w:t>
      </w:r>
      <w:r w:rsidR="00205D3B" w:rsidRPr="00FE3F8B">
        <w:rPr>
          <w:rFonts w:cs="Arial"/>
          <w:b/>
          <w:sz w:val="28"/>
          <w:szCs w:val="24"/>
          <w:u w:val="single"/>
        </w:rPr>
        <w:t>hrnutí</w:t>
      </w:r>
    </w:p>
    <w:p w:rsidR="00FE3F8B" w:rsidRPr="00FE3F8B" w:rsidRDefault="00FE3F8B" w:rsidP="00FE3F8B">
      <w:pPr>
        <w:spacing w:before="120" w:line="240" w:lineRule="auto"/>
        <w:ind w:left="360"/>
        <w:rPr>
          <w:rFonts w:cs="Arial"/>
          <w:szCs w:val="24"/>
        </w:rPr>
      </w:pPr>
    </w:p>
    <w:p w:rsidR="00205D3B" w:rsidRDefault="00205D3B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Současn</w:t>
      </w:r>
      <w:r w:rsidR="00F049EE">
        <w:rPr>
          <w:rFonts w:cs="Arial"/>
          <w:szCs w:val="24"/>
        </w:rPr>
        <w:t>ý</w:t>
      </w:r>
      <w:r w:rsidRPr="00FE3F8B">
        <w:rPr>
          <w:rFonts w:cs="Arial"/>
          <w:szCs w:val="24"/>
        </w:rPr>
        <w:t xml:space="preserve"> ekonomický růst vyvolává na trhu práce zvýšenou poptávkou po pracovní síle, v evidenci volných pracovních míst Úřadu práce ČR je více jak 100 tisíc volných pracovních míst a od začátku roku 2015 dochází k permanentnímu snižování registrované nezaměstnanosti na necelých 450 tisíc uchazečů o zaměstnání. Vytváří se tak silný tlak ze strany zaměstnavatelů na nové zdroje pracovních sil. Jedním z důsledků krize byl však nárůst podílu dlouhodobě nezaměstnaných osob (nad 12 měsíců), jejichž podíl na nezaměstnanosti se blíží hranici 50 %</w:t>
      </w:r>
      <w:r w:rsidR="00AC68A4" w:rsidRPr="00FE3F8B">
        <w:rPr>
          <w:rFonts w:cs="Arial"/>
          <w:szCs w:val="24"/>
        </w:rPr>
        <w:t xml:space="preserve"> a se snižující se nezaměstnaností stoupá. Tato skutečnost indikuje výrazně zhoršené postavení dlouhodobě nezaměstnaných osob na trhu práce a ztrátu jejich konkurenceschopnosti na trhu práce v důsled</w:t>
      </w:r>
      <w:r w:rsidR="00F65933">
        <w:rPr>
          <w:rFonts w:cs="Arial"/>
          <w:szCs w:val="24"/>
        </w:rPr>
        <w:t>ku dlouhodobé nezaměstnanosti a </w:t>
      </w:r>
      <w:r w:rsidR="00AC68A4" w:rsidRPr="00FE3F8B">
        <w:rPr>
          <w:rFonts w:cs="Arial"/>
          <w:szCs w:val="24"/>
        </w:rPr>
        <w:t>ztráty pracovních návyků, popřípadě kvalifikace.</w:t>
      </w:r>
    </w:p>
    <w:p w:rsidR="002444D6" w:rsidRDefault="002444D6" w:rsidP="00FE3F8B">
      <w:pPr>
        <w:spacing w:line="240" w:lineRule="auto"/>
        <w:rPr>
          <w:rFonts w:cs="Arial"/>
          <w:szCs w:val="24"/>
        </w:rPr>
      </w:pPr>
    </w:p>
    <w:p w:rsidR="002444D6" w:rsidRPr="002444D6" w:rsidRDefault="002444D6" w:rsidP="00FE3F8B">
      <w:p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Z provedené analýzy však vyplývá, že při zavedení vhodných opatření zvyšujících efektivitu regionální a profesní distribuce pracovní síly disponuje český trh práce dostatečným počtem pracovních sil schopným uspokojit domácí poptávku. </w:t>
      </w:r>
      <w:r w:rsidR="00635927">
        <w:rPr>
          <w:rFonts w:cs="Arial"/>
          <w:b/>
          <w:szCs w:val="24"/>
        </w:rPr>
        <w:t>Ve spolupráci všech zainteresovaných stran je však nutné odbourat ty bariéry, které brání vstupu někte</w:t>
      </w:r>
      <w:r w:rsidR="00F65933">
        <w:rPr>
          <w:rFonts w:cs="Arial"/>
          <w:b/>
          <w:szCs w:val="24"/>
        </w:rPr>
        <w:t>rých skupin osob na trh práce a </w:t>
      </w:r>
      <w:r w:rsidR="00635927">
        <w:rPr>
          <w:rFonts w:cs="Arial"/>
          <w:b/>
          <w:szCs w:val="24"/>
        </w:rPr>
        <w:t>snižují tak efektivitu fungování trhu práce v České republice.</w:t>
      </w:r>
    </w:p>
    <w:p w:rsidR="00AC68A4" w:rsidRPr="00FE3F8B" w:rsidRDefault="00AC68A4" w:rsidP="00FE3F8B">
      <w:pPr>
        <w:spacing w:line="240" w:lineRule="auto"/>
        <w:rPr>
          <w:rFonts w:cs="Arial"/>
          <w:szCs w:val="24"/>
        </w:rPr>
      </w:pPr>
    </w:p>
    <w:p w:rsidR="00625786" w:rsidRPr="00FE3F8B" w:rsidRDefault="00625786" w:rsidP="00FE3F8B">
      <w:pPr>
        <w:spacing w:line="240" w:lineRule="auto"/>
        <w:rPr>
          <w:rFonts w:cs="Arial"/>
          <w:b/>
          <w:szCs w:val="24"/>
        </w:rPr>
      </w:pPr>
      <w:r w:rsidRPr="00FE3F8B">
        <w:rPr>
          <w:rFonts w:cs="Arial"/>
          <w:b/>
          <w:szCs w:val="24"/>
        </w:rPr>
        <w:t>3.1 Problémy</w:t>
      </w:r>
    </w:p>
    <w:p w:rsidR="00AC68A4" w:rsidRPr="00FE3F8B" w:rsidRDefault="00AC68A4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V </w:t>
      </w:r>
      <w:r w:rsidR="00625786" w:rsidRPr="00FE3F8B">
        <w:rPr>
          <w:rFonts w:cs="Arial"/>
          <w:szCs w:val="24"/>
        </w:rPr>
        <w:t>situaci</w:t>
      </w:r>
      <w:r w:rsidRPr="00FE3F8B">
        <w:rPr>
          <w:rFonts w:cs="Arial"/>
          <w:szCs w:val="24"/>
        </w:rPr>
        <w:t xml:space="preserve"> obnoveného ekonomického růstu lze na trhu práce indikovat dvě základní skupiny disproporcí v nabídce a poptávce:</w:t>
      </w:r>
    </w:p>
    <w:p w:rsidR="000626D5" w:rsidRPr="00FE3F8B" w:rsidRDefault="000626D5" w:rsidP="00FE3F8B">
      <w:pPr>
        <w:spacing w:line="240" w:lineRule="auto"/>
        <w:rPr>
          <w:rFonts w:cs="Arial"/>
          <w:szCs w:val="24"/>
        </w:rPr>
      </w:pPr>
    </w:p>
    <w:p w:rsidR="000626D5" w:rsidRDefault="000626D5" w:rsidP="00FE3F8B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rFonts w:cs="Arial"/>
          <w:b/>
          <w:i/>
          <w:szCs w:val="24"/>
        </w:rPr>
      </w:pPr>
      <w:r w:rsidRPr="003020BF">
        <w:rPr>
          <w:rFonts w:cs="Arial"/>
          <w:b/>
          <w:i/>
          <w:szCs w:val="24"/>
        </w:rPr>
        <w:t>Vysoký počet volných pracovních míst i uchazečů o zaměstnání (disproporce v oblasti distribuce pracovní síly)</w:t>
      </w:r>
    </w:p>
    <w:p w:rsidR="003020BF" w:rsidRPr="003020BF" w:rsidRDefault="003020BF" w:rsidP="003020BF">
      <w:pPr>
        <w:pStyle w:val="Odstavecseseznamem"/>
        <w:spacing w:line="240" w:lineRule="auto"/>
        <w:ind w:left="426"/>
        <w:rPr>
          <w:rFonts w:cs="Arial"/>
          <w:b/>
          <w:i/>
          <w:szCs w:val="24"/>
        </w:rPr>
      </w:pPr>
    </w:p>
    <w:p w:rsidR="007A6F52" w:rsidRPr="00FE3F8B" w:rsidRDefault="007A6F5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>Projevuje se</w:t>
      </w:r>
      <w:r w:rsidR="00AC68A4" w:rsidRPr="00FE3F8B">
        <w:rPr>
          <w:rFonts w:cs="Arial"/>
          <w:szCs w:val="24"/>
        </w:rPr>
        <w:t xml:space="preserve"> zejména u povolání </w:t>
      </w:r>
      <w:r w:rsidR="00AC68A4" w:rsidRPr="003020BF">
        <w:rPr>
          <w:rFonts w:cs="Arial"/>
          <w:b/>
          <w:szCs w:val="24"/>
        </w:rPr>
        <w:t>s nízkými nároky na kvalifikaci, pomocných pracích apod.</w:t>
      </w:r>
      <w:r w:rsidR="00AC68A4" w:rsidRPr="00FE3F8B">
        <w:rPr>
          <w:rFonts w:cs="Arial"/>
          <w:szCs w:val="24"/>
        </w:rPr>
        <w:t>, vyznačovaných vysokou fluktuací</w:t>
      </w:r>
      <w:r w:rsidRPr="00FE3F8B">
        <w:rPr>
          <w:rFonts w:cs="Arial"/>
          <w:szCs w:val="24"/>
        </w:rPr>
        <w:t>. Zásadním faktorem determinujícím vznik této disproporce je střet mezi požadavky (pracovní podmínky, směnnost) a nabídkou zaměstnavatelů (výše odměny) v komparaci s požadavky</w:t>
      </w:r>
      <w:r w:rsidR="00F65933">
        <w:rPr>
          <w:rFonts w:cs="Arial"/>
          <w:szCs w:val="24"/>
        </w:rPr>
        <w:t xml:space="preserve"> a </w:t>
      </w:r>
      <w:r w:rsidRPr="00FE3F8B">
        <w:rPr>
          <w:rFonts w:cs="Arial"/>
          <w:szCs w:val="24"/>
        </w:rPr>
        <w:t xml:space="preserve">představami pracovní síly. Lze vyvodit, že po vyvázání se </w:t>
      </w:r>
      <w:r w:rsidR="00CA6F34">
        <w:rPr>
          <w:rFonts w:cs="Arial"/>
          <w:szCs w:val="24"/>
        </w:rPr>
        <w:t>z</w:t>
      </w:r>
      <w:r w:rsidR="00CA6F34" w:rsidRPr="00FE3F8B">
        <w:rPr>
          <w:rFonts w:cs="Arial"/>
          <w:szCs w:val="24"/>
        </w:rPr>
        <w:t> </w:t>
      </w:r>
      <w:r w:rsidRPr="00FE3F8B">
        <w:rPr>
          <w:rFonts w:cs="Arial"/>
          <w:szCs w:val="24"/>
        </w:rPr>
        <w:t>krize doposud trh práce nenalezl harmonii mezi poptávkou (zaměstnavatelé) a nabídkou (pracovní síla).</w:t>
      </w:r>
    </w:p>
    <w:p w:rsidR="007A6F52" w:rsidRPr="00FE3F8B" w:rsidRDefault="007A6F52" w:rsidP="00FE3F8B">
      <w:pPr>
        <w:spacing w:line="240" w:lineRule="auto"/>
        <w:rPr>
          <w:rFonts w:cs="Arial"/>
          <w:szCs w:val="24"/>
        </w:rPr>
      </w:pPr>
    </w:p>
    <w:p w:rsidR="007A6F52" w:rsidRPr="00FE3F8B" w:rsidRDefault="007A6F5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b/>
          <w:szCs w:val="24"/>
        </w:rPr>
        <w:t>Na straně zaměstnavatelů</w:t>
      </w:r>
      <w:r w:rsidRPr="00FE3F8B">
        <w:rPr>
          <w:rFonts w:cs="Arial"/>
          <w:szCs w:val="24"/>
        </w:rPr>
        <w:t xml:space="preserve"> je primárním problémem nabízená nízká odměna dostatečně nekompenzující nabízené pracovní podmínky a požadavky. Výrazným determinantem je závislost na zakázkách a snaha o opt</w:t>
      </w:r>
      <w:r w:rsidR="00F65933">
        <w:rPr>
          <w:rFonts w:cs="Arial"/>
          <w:szCs w:val="24"/>
        </w:rPr>
        <w:t>imalizaci a flexibilitu, tedy i </w:t>
      </w:r>
      <w:r w:rsidRPr="00FE3F8B">
        <w:rPr>
          <w:rFonts w:cs="Arial"/>
          <w:szCs w:val="24"/>
        </w:rPr>
        <w:t>nadměrné využívání dohod mimo pracovní poměr a agenturního zaměstnávání.</w:t>
      </w:r>
    </w:p>
    <w:p w:rsidR="007A6F52" w:rsidRPr="00FE3F8B" w:rsidRDefault="007A6F52" w:rsidP="00FE3F8B">
      <w:pPr>
        <w:spacing w:line="240" w:lineRule="auto"/>
        <w:rPr>
          <w:rFonts w:cs="Arial"/>
          <w:szCs w:val="24"/>
        </w:rPr>
      </w:pPr>
    </w:p>
    <w:p w:rsidR="007A6F52" w:rsidRPr="00FE3F8B" w:rsidRDefault="007A6F52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b/>
          <w:szCs w:val="24"/>
        </w:rPr>
        <w:t>Na straně pracovní síly</w:t>
      </w:r>
      <w:r w:rsidRPr="00FE3F8B">
        <w:rPr>
          <w:rFonts w:cs="Arial"/>
          <w:szCs w:val="24"/>
        </w:rPr>
        <w:t xml:space="preserve"> je zásadním problémem možnost alternativního příjmu v podobě sociálních dávek, popřípadě práce na černo či v rámci tzv. nekolidujícího zaměstnání</w:t>
      </w:r>
      <w:r w:rsidR="00A34852" w:rsidRPr="00FE3F8B">
        <w:rPr>
          <w:rFonts w:cs="Arial"/>
          <w:szCs w:val="24"/>
        </w:rPr>
        <w:t>.</w:t>
      </w:r>
      <w:r w:rsidR="00C4414F" w:rsidRPr="00FE3F8B">
        <w:rPr>
          <w:rFonts w:cs="Arial"/>
          <w:szCs w:val="24"/>
        </w:rPr>
        <w:t xml:space="preserve"> K dalším problémům se řadí zdravotní stav a péče o dítě/závislou osobu.</w:t>
      </w:r>
      <w:r w:rsidRPr="00FE3F8B">
        <w:rPr>
          <w:rFonts w:cs="Arial"/>
          <w:szCs w:val="24"/>
        </w:rPr>
        <w:t xml:space="preserve"> </w:t>
      </w:r>
    </w:p>
    <w:p w:rsidR="00C4414F" w:rsidRPr="00FE3F8B" w:rsidRDefault="00C4414F" w:rsidP="00FE3F8B">
      <w:pPr>
        <w:spacing w:line="240" w:lineRule="auto"/>
        <w:rPr>
          <w:rFonts w:cs="Arial"/>
          <w:szCs w:val="24"/>
        </w:rPr>
      </w:pPr>
    </w:p>
    <w:p w:rsidR="00C4414F" w:rsidRPr="00FE3F8B" w:rsidRDefault="00C4414F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b/>
          <w:szCs w:val="24"/>
        </w:rPr>
        <w:t>Na straně státní správy</w:t>
      </w:r>
      <w:r w:rsidR="00CA6F34">
        <w:rPr>
          <w:rFonts w:cs="Arial"/>
          <w:b/>
          <w:szCs w:val="24"/>
        </w:rPr>
        <w:t xml:space="preserve"> služeb zaměstnanosti</w:t>
      </w:r>
      <w:r w:rsidRPr="00FE3F8B">
        <w:rPr>
          <w:rFonts w:cs="Arial"/>
          <w:b/>
          <w:szCs w:val="24"/>
        </w:rPr>
        <w:t xml:space="preserve"> (ÚP ČR)</w:t>
      </w:r>
      <w:r w:rsidRPr="00FE3F8B">
        <w:rPr>
          <w:rFonts w:cs="Arial"/>
          <w:szCs w:val="24"/>
        </w:rPr>
        <w:t xml:space="preserve"> je primárním problémem koordinace mezi sociální politikou a politikou zaměstnanosti, kontrola oprávnění pobírat sociální dávky a kontrola pracovních podmínek, v některých případech pak </w:t>
      </w:r>
      <w:r w:rsidR="003020BF">
        <w:rPr>
          <w:rFonts w:cs="Arial"/>
          <w:szCs w:val="24"/>
        </w:rPr>
        <w:t>ne</w:t>
      </w:r>
      <w:r w:rsidRPr="00FE3F8B">
        <w:rPr>
          <w:rFonts w:cs="Arial"/>
          <w:szCs w:val="24"/>
        </w:rPr>
        <w:t>zabezpeč</w:t>
      </w:r>
      <w:r w:rsidR="003020BF">
        <w:rPr>
          <w:rFonts w:cs="Arial"/>
          <w:szCs w:val="24"/>
        </w:rPr>
        <w:t>ení</w:t>
      </w:r>
      <w:r w:rsidRPr="00FE3F8B">
        <w:rPr>
          <w:rFonts w:cs="Arial"/>
          <w:szCs w:val="24"/>
        </w:rPr>
        <w:t xml:space="preserve"> individualizovan</w:t>
      </w:r>
      <w:r w:rsidR="003020BF">
        <w:rPr>
          <w:rFonts w:cs="Arial"/>
          <w:szCs w:val="24"/>
        </w:rPr>
        <w:t>ého</w:t>
      </w:r>
      <w:r w:rsidRPr="00FE3F8B">
        <w:rPr>
          <w:rFonts w:cs="Arial"/>
          <w:szCs w:val="24"/>
        </w:rPr>
        <w:t xml:space="preserve"> přístup</w:t>
      </w:r>
      <w:r w:rsidR="003020BF">
        <w:rPr>
          <w:rFonts w:cs="Arial"/>
          <w:szCs w:val="24"/>
        </w:rPr>
        <w:t>u</w:t>
      </w:r>
      <w:r w:rsidRPr="00FE3F8B">
        <w:rPr>
          <w:rFonts w:cs="Arial"/>
          <w:szCs w:val="24"/>
        </w:rPr>
        <w:t xml:space="preserve"> zejména v oblasti zprostředkování zaměstnání.</w:t>
      </w:r>
    </w:p>
    <w:p w:rsidR="000626D5" w:rsidRPr="00FE3F8B" w:rsidRDefault="000626D5" w:rsidP="00FE3F8B">
      <w:pPr>
        <w:spacing w:line="240" w:lineRule="auto"/>
        <w:rPr>
          <w:rFonts w:cs="Arial"/>
          <w:szCs w:val="24"/>
        </w:rPr>
      </w:pPr>
    </w:p>
    <w:p w:rsidR="000626D5" w:rsidRPr="00FE3F8B" w:rsidRDefault="000626D5" w:rsidP="00FE3F8B">
      <w:pPr>
        <w:spacing w:line="240" w:lineRule="auto"/>
        <w:rPr>
          <w:rFonts w:cs="Arial"/>
          <w:szCs w:val="24"/>
        </w:rPr>
      </w:pPr>
    </w:p>
    <w:p w:rsidR="003020BF" w:rsidRPr="003020BF" w:rsidRDefault="00C4414F" w:rsidP="00FE3F8B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rFonts w:cs="Arial"/>
          <w:b/>
          <w:szCs w:val="24"/>
        </w:rPr>
      </w:pPr>
      <w:r w:rsidRPr="003020BF">
        <w:rPr>
          <w:rFonts w:cs="Arial"/>
          <w:b/>
          <w:i/>
          <w:szCs w:val="24"/>
        </w:rPr>
        <w:t>R</w:t>
      </w:r>
      <w:r w:rsidR="00AC68A4" w:rsidRPr="003020BF">
        <w:rPr>
          <w:rFonts w:cs="Arial"/>
          <w:b/>
          <w:i/>
          <w:szCs w:val="24"/>
        </w:rPr>
        <w:t>eálně chybějící pracovní síla</w:t>
      </w:r>
    </w:p>
    <w:p w:rsidR="00C4414F" w:rsidRPr="003020BF" w:rsidRDefault="00AC68A4" w:rsidP="003020BF">
      <w:pPr>
        <w:pStyle w:val="Odstavecseseznamem"/>
        <w:spacing w:line="240" w:lineRule="auto"/>
        <w:ind w:left="426"/>
        <w:rPr>
          <w:rFonts w:cs="Arial"/>
          <w:b/>
          <w:szCs w:val="24"/>
        </w:rPr>
      </w:pPr>
      <w:r w:rsidRPr="003020BF">
        <w:rPr>
          <w:rFonts w:cs="Arial"/>
          <w:b/>
          <w:szCs w:val="24"/>
        </w:rPr>
        <w:t xml:space="preserve"> </w:t>
      </w:r>
    </w:p>
    <w:p w:rsidR="00C4414F" w:rsidRDefault="00C4414F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Zejména </w:t>
      </w:r>
      <w:r w:rsidRPr="003020BF">
        <w:rPr>
          <w:rFonts w:cs="Arial"/>
          <w:b/>
          <w:szCs w:val="24"/>
        </w:rPr>
        <w:t>v řemeslných profesích a technických povoláních</w:t>
      </w:r>
      <w:r w:rsidRPr="00FE3F8B">
        <w:rPr>
          <w:rFonts w:cs="Arial"/>
          <w:szCs w:val="24"/>
        </w:rPr>
        <w:t>, kde se na trhu práce projevuje nejvyšší nedostatek vhodné kvalifikované pracovní síly.</w:t>
      </w:r>
    </w:p>
    <w:p w:rsidR="003020BF" w:rsidRPr="00FE3F8B" w:rsidRDefault="003020BF" w:rsidP="00FE3F8B">
      <w:pPr>
        <w:spacing w:line="240" w:lineRule="auto"/>
        <w:rPr>
          <w:rFonts w:cs="Arial"/>
          <w:szCs w:val="24"/>
        </w:rPr>
      </w:pPr>
    </w:p>
    <w:p w:rsidR="00976666" w:rsidRDefault="00C4414F" w:rsidP="00FE3F8B">
      <w:pPr>
        <w:spacing w:line="240" w:lineRule="auto"/>
        <w:rPr>
          <w:rFonts w:cs="Arial"/>
          <w:szCs w:val="24"/>
        </w:rPr>
      </w:pPr>
      <w:r w:rsidRPr="00976666">
        <w:rPr>
          <w:rFonts w:cs="Arial"/>
          <w:b/>
          <w:szCs w:val="24"/>
        </w:rPr>
        <w:t>Na straně zaměstnavatelů</w:t>
      </w:r>
      <w:r w:rsidRPr="00976666">
        <w:rPr>
          <w:rFonts w:cs="Arial"/>
          <w:szCs w:val="24"/>
        </w:rPr>
        <w:t xml:space="preserve"> </w:t>
      </w:r>
      <w:r w:rsidR="00976666">
        <w:rPr>
          <w:rFonts w:cs="Arial"/>
          <w:szCs w:val="24"/>
        </w:rPr>
        <w:t>existují objektivní (finanč</w:t>
      </w:r>
      <w:r w:rsidR="00F65933">
        <w:rPr>
          <w:rFonts w:cs="Arial"/>
          <w:szCs w:val="24"/>
        </w:rPr>
        <w:t>ní a administrativní bariéry) i </w:t>
      </w:r>
      <w:r w:rsidR="00976666">
        <w:rPr>
          <w:rFonts w:cs="Arial"/>
          <w:szCs w:val="24"/>
        </w:rPr>
        <w:t xml:space="preserve">subjektivní (nedůvěra v efektivnost vynaložených výdajů) příčiny vedoucí k nedostatečné ochotě zapracovávat nové zaměstnance a investovat do jejich kvalifikačního rozvoje v podobě dalšího vzdělávání. </w:t>
      </w:r>
    </w:p>
    <w:p w:rsidR="00976666" w:rsidRDefault="00976666" w:rsidP="00FE3F8B">
      <w:pPr>
        <w:spacing w:line="240" w:lineRule="auto"/>
        <w:rPr>
          <w:rFonts w:cs="Arial"/>
          <w:szCs w:val="24"/>
        </w:rPr>
      </w:pPr>
    </w:p>
    <w:p w:rsidR="00625786" w:rsidRPr="00FE3F8B" w:rsidRDefault="00C4414F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b/>
          <w:szCs w:val="24"/>
        </w:rPr>
        <w:t>Na straně pracovní síly</w:t>
      </w:r>
      <w:r w:rsidRPr="00FE3F8B">
        <w:rPr>
          <w:rFonts w:cs="Arial"/>
          <w:szCs w:val="24"/>
        </w:rPr>
        <w:t xml:space="preserve"> je primárním problémem nedostatečná motivace zejména budoucích pracovníků (osob připravujících se na budoucí povolání) nalézat pracovní uplatnění v technických a řemeslných profesích, v řadě případů však i v oblasti zkreslených představ o fungování trhu práce (neadekvátní požadavky)</w:t>
      </w:r>
      <w:r w:rsidR="00625786" w:rsidRPr="00FE3F8B">
        <w:rPr>
          <w:rFonts w:cs="Arial"/>
          <w:szCs w:val="24"/>
        </w:rPr>
        <w:t>. Problematická je rovněž nedostatečná praxe a praktická znalost oboru.</w:t>
      </w:r>
    </w:p>
    <w:p w:rsidR="00625786" w:rsidRPr="00FE3F8B" w:rsidRDefault="00625786" w:rsidP="00FE3F8B">
      <w:pPr>
        <w:spacing w:line="240" w:lineRule="auto"/>
        <w:rPr>
          <w:rFonts w:cs="Arial"/>
          <w:szCs w:val="24"/>
        </w:rPr>
      </w:pPr>
    </w:p>
    <w:p w:rsidR="00AC68A4" w:rsidRPr="00FE3F8B" w:rsidRDefault="00625786" w:rsidP="00FE3F8B">
      <w:pPr>
        <w:spacing w:line="240" w:lineRule="auto"/>
        <w:rPr>
          <w:rFonts w:cs="Arial"/>
          <w:szCs w:val="24"/>
        </w:rPr>
      </w:pPr>
      <w:r w:rsidRPr="00FE3F8B">
        <w:rPr>
          <w:rFonts w:cs="Arial"/>
          <w:b/>
          <w:szCs w:val="24"/>
        </w:rPr>
        <w:t xml:space="preserve">Na straně státní správy </w:t>
      </w:r>
      <w:r w:rsidRPr="00FE3F8B">
        <w:rPr>
          <w:rFonts w:cs="Arial"/>
          <w:szCs w:val="24"/>
        </w:rPr>
        <w:t>je primární příčinou snížená funkčnost kariérového poradenství a poradenství k volbě povolání, oblast rekvalifikací a jejich efektivita, nastavení počátečního vzdělávání.</w:t>
      </w:r>
      <w:r w:rsidR="00C4414F" w:rsidRPr="00FE3F8B">
        <w:rPr>
          <w:rFonts w:cs="Arial"/>
          <w:szCs w:val="24"/>
        </w:rPr>
        <w:t xml:space="preserve"> </w:t>
      </w:r>
    </w:p>
    <w:p w:rsidR="00AC68A4" w:rsidRPr="00FE3F8B" w:rsidRDefault="00AC68A4" w:rsidP="00FE3F8B">
      <w:pPr>
        <w:spacing w:line="240" w:lineRule="auto"/>
        <w:rPr>
          <w:rFonts w:cs="Arial"/>
          <w:szCs w:val="24"/>
        </w:rPr>
      </w:pPr>
    </w:p>
    <w:p w:rsidR="00205D3B" w:rsidRPr="00FE3F8B" w:rsidRDefault="00625786" w:rsidP="00FE3F8B">
      <w:pPr>
        <w:spacing w:before="120" w:line="240" w:lineRule="auto"/>
        <w:rPr>
          <w:rFonts w:cs="Arial"/>
          <w:b/>
          <w:szCs w:val="24"/>
        </w:rPr>
      </w:pPr>
      <w:r w:rsidRPr="00FE3F8B">
        <w:rPr>
          <w:rFonts w:cs="Arial"/>
          <w:b/>
          <w:szCs w:val="24"/>
        </w:rPr>
        <w:t xml:space="preserve">3.2 Opatření – shrnutí </w:t>
      </w:r>
    </w:p>
    <w:p w:rsidR="00625786" w:rsidRPr="00FE3F8B" w:rsidRDefault="00625786" w:rsidP="00FE3F8B">
      <w:pPr>
        <w:spacing w:before="120" w:line="240" w:lineRule="auto"/>
        <w:rPr>
          <w:rFonts w:cs="Arial"/>
          <w:szCs w:val="24"/>
        </w:rPr>
      </w:pPr>
      <w:r w:rsidRPr="00FE3F8B">
        <w:rPr>
          <w:rFonts w:cs="Arial"/>
          <w:szCs w:val="24"/>
        </w:rPr>
        <w:t xml:space="preserve">Na základě výše uvedených příčin problémů jsou navrhována konkrétní opatření k nivelizaci disharmonie na trhu práce </w:t>
      </w:r>
      <w:r w:rsidRPr="003020BF">
        <w:rPr>
          <w:rFonts w:cs="Arial"/>
          <w:szCs w:val="24"/>
        </w:rPr>
        <w:t>(viz kap. 3.3</w:t>
      </w:r>
      <w:r w:rsidRPr="00FE3F8B">
        <w:rPr>
          <w:rFonts w:cs="Arial"/>
          <w:szCs w:val="24"/>
        </w:rPr>
        <w:t>), která směřují jak do oblasti legislativních změn, tak ke zvýšení efektivity činnosti Úřadu práce České republiky v oblasti zprostředkování zaměstnání. Jedná se o opatření v oblasti:</w:t>
      </w:r>
    </w:p>
    <w:p w:rsidR="00625786" w:rsidRPr="00FE3F8B" w:rsidRDefault="00625786" w:rsidP="006B14CE">
      <w:pPr>
        <w:pStyle w:val="Odstavecseseznamem"/>
        <w:numPr>
          <w:ilvl w:val="0"/>
          <w:numId w:val="3"/>
        </w:numPr>
        <w:spacing w:before="120" w:line="240" w:lineRule="auto"/>
        <w:ind w:left="714" w:hanging="357"/>
        <w:contextualSpacing w:val="0"/>
        <w:rPr>
          <w:rFonts w:cs="Arial"/>
          <w:szCs w:val="24"/>
        </w:rPr>
      </w:pPr>
      <w:r w:rsidRPr="003020BF">
        <w:rPr>
          <w:rFonts w:cs="Arial"/>
          <w:b/>
          <w:szCs w:val="24"/>
        </w:rPr>
        <w:t>zvýšení motivace pracovní síly k přijetí zaměstnání</w:t>
      </w:r>
      <w:r w:rsidRPr="00FE3F8B">
        <w:rPr>
          <w:rFonts w:cs="Arial"/>
          <w:szCs w:val="24"/>
        </w:rPr>
        <w:t xml:space="preserve"> (znovuzavedení veřejné služby, průběžné zvyšování minimální mzdy, reg</w:t>
      </w:r>
      <w:r w:rsidR="004D28E9" w:rsidRPr="00FE3F8B">
        <w:rPr>
          <w:rFonts w:cs="Arial"/>
          <w:szCs w:val="24"/>
        </w:rPr>
        <w:t>ulace nekolidujícího zaměstnání, posilování regionální mobility pracovní síly, revize dávkového systému</w:t>
      </w:r>
      <w:r w:rsidR="006B14CE">
        <w:rPr>
          <w:rFonts w:cs="Arial"/>
          <w:szCs w:val="24"/>
        </w:rPr>
        <w:t>, řešení problematiky vlivu exekucí na ochotu přijmout zaměstnání</w:t>
      </w:r>
      <w:r w:rsidR="004D28E9" w:rsidRPr="00FE3F8B">
        <w:rPr>
          <w:rFonts w:cs="Arial"/>
          <w:szCs w:val="24"/>
        </w:rPr>
        <w:t>);</w:t>
      </w:r>
    </w:p>
    <w:p w:rsidR="004D28E9" w:rsidRPr="00FE3F8B" w:rsidRDefault="004D28E9" w:rsidP="006B14CE">
      <w:pPr>
        <w:pStyle w:val="Odstavecseseznamem"/>
        <w:numPr>
          <w:ilvl w:val="0"/>
          <w:numId w:val="3"/>
        </w:numPr>
        <w:spacing w:before="120" w:line="240" w:lineRule="auto"/>
        <w:ind w:left="714" w:hanging="357"/>
        <w:contextualSpacing w:val="0"/>
        <w:rPr>
          <w:rFonts w:cs="Arial"/>
          <w:szCs w:val="24"/>
        </w:rPr>
      </w:pPr>
      <w:r w:rsidRPr="003020BF">
        <w:rPr>
          <w:rFonts w:cs="Arial"/>
          <w:b/>
          <w:szCs w:val="24"/>
        </w:rPr>
        <w:t>zvýšení motivace zaměstnavatelů zaměstnávat osoby, které jsou na trhu práce znevýhodněné</w:t>
      </w:r>
      <w:r w:rsidR="00AA7A14">
        <w:rPr>
          <w:rFonts w:cs="Arial"/>
          <w:b/>
          <w:szCs w:val="24"/>
        </w:rPr>
        <w:t>,</w:t>
      </w:r>
      <w:r w:rsidRPr="00FE3F8B">
        <w:rPr>
          <w:rFonts w:cs="Arial"/>
          <w:szCs w:val="24"/>
        </w:rPr>
        <w:t xml:space="preserve"> a podpořit tak intenzivní využití dostupné volné pracovní síly;</w:t>
      </w:r>
    </w:p>
    <w:p w:rsidR="004D28E9" w:rsidRPr="003020BF" w:rsidRDefault="004D28E9" w:rsidP="006B14CE">
      <w:pPr>
        <w:pStyle w:val="Odstavecseseznamem"/>
        <w:numPr>
          <w:ilvl w:val="0"/>
          <w:numId w:val="3"/>
        </w:numPr>
        <w:spacing w:before="120" w:line="240" w:lineRule="auto"/>
        <w:ind w:left="714" w:hanging="357"/>
        <w:contextualSpacing w:val="0"/>
        <w:rPr>
          <w:rFonts w:cs="Arial"/>
          <w:b/>
          <w:szCs w:val="24"/>
        </w:rPr>
      </w:pPr>
      <w:r w:rsidRPr="003020BF">
        <w:rPr>
          <w:rFonts w:cs="Arial"/>
          <w:b/>
          <w:szCs w:val="24"/>
        </w:rPr>
        <w:t>intenzifikace realizace zprostředkovatelských služeb ÚP ČR s cílem včasně reagovat na vznikající poptávku po pracovní síle;</w:t>
      </w:r>
    </w:p>
    <w:p w:rsidR="001433C6" w:rsidRPr="00FE3F8B" w:rsidRDefault="004D28E9" w:rsidP="006B14CE">
      <w:pPr>
        <w:pStyle w:val="Odstavecseseznamem"/>
        <w:numPr>
          <w:ilvl w:val="0"/>
          <w:numId w:val="3"/>
        </w:numPr>
        <w:spacing w:before="120" w:line="240" w:lineRule="auto"/>
        <w:ind w:left="714" w:hanging="357"/>
        <w:contextualSpacing w:val="0"/>
        <w:rPr>
          <w:rFonts w:cs="Arial"/>
          <w:szCs w:val="24"/>
        </w:rPr>
      </w:pPr>
      <w:r w:rsidRPr="003020BF">
        <w:rPr>
          <w:rFonts w:cs="Arial"/>
          <w:b/>
          <w:szCs w:val="24"/>
        </w:rPr>
        <w:t xml:space="preserve">podporovat soulad mezi požadavky na kvalifikaci a kvalifikační strukturou pracovní síly </w:t>
      </w:r>
      <w:r w:rsidRPr="00FE3F8B">
        <w:rPr>
          <w:rFonts w:cs="Arial"/>
          <w:szCs w:val="24"/>
        </w:rPr>
        <w:t>(zefektivnění realizace rekvalifikačních kurzů, předvídání potřeb trhu práce, optimalizace počátečního vzdělávání, kariérové poradenství a poradenství k volbě povolání).</w:t>
      </w:r>
    </w:p>
    <w:p w:rsidR="001433C6" w:rsidRPr="00FE3F8B" w:rsidRDefault="001433C6" w:rsidP="00FE3F8B">
      <w:pPr>
        <w:spacing w:after="200" w:line="240" w:lineRule="auto"/>
        <w:jc w:val="left"/>
        <w:rPr>
          <w:rFonts w:cs="Arial"/>
          <w:szCs w:val="24"/>
        </w:rPr>
        <w:sectPr w:rsidR="001433C6" w:rsidRPr="00FE3F8B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3F8B">
        <w:rPr>
          <w:rFonts w:cs="Arial"/>
          <w:szCs w:val="24"/>
        </w:rPr>
        <w:br w:type="page"/>
      </w:r>
    </w:p>
    <w:p w:rsidR="001433C6" w:rsidRPr="00FE3F8B" w:rsidRDefault="001433C6" w:rsidP="00FE3F8B">
      <w:pPr>
        <w:spacing w:after="200" w:line="240" w:lineRule="auto"/>
        <w:jc w:val="left"/>
        <w:rPr>
          <w:rFonts w:cs="Arial"/>
          <w:b/>
          <w:szCs w:val="24"/>
        </w:rPr>
      </w:pPr>
      <w:r w:rsidRPr="00FE3F8B">
        <w:rPr>
          <w:rFonts w:cs="Arial"/>
          <w:b/>
          <w:szCs w:val="24"/>
        </w:rPr>
        <w:lastRenderedPageBreak/>
        <w:t>3.3 Tabulka navrhovaných opatření</w:t>
      </w:r>
    </w:p>
    <w:p w:rsidR="001433C6" w:rsidRPr="00FE3F8B" w:rsidRDefault="001433C6" w:rsidP="00FE3F8B">
      <w:pPr>
        <w:spacing w:after="200" w:line="240" w:lineRule="auto"/>
        <w:jc w:val="left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710"/>
        <w:gridCol w:w="4360"/>
        <w:gridCol w:w="5670"/>
        <w:gridCol w:w="954"/>
        <w:gridCol w:w="1030"/>
        <w:gridCol w:w="1496"/>
      </w:tblGrid>
      <w:tr w:rsidR="001433C6" w:rsidRPr="00FE3F8B" w:rsidTr="00D808F8">
        <w:tc>
          <w:tcPr>
            <w:tcW w:w="14220" w:type="dxa"/>
            <w:gridSpan w:val="6"/>
          </w:tcPr>
          <w:p w:rsidR="001433C6" w:rsidRPr="000078EC" w:rsidRDefault="001433C6" w:rsidP="00FE3F8B">
            <w:pPr>
              <w:spacing w:after="200"/>
              <w:jc w:val="left"/>
              <w:rPr>
                <w:rFonts w:cs="Arial"/>
                <w:b/>
                <w:szCs w:val="24"/>
              </w:rPr>
            </w:pPr>
            <w:r w:rsidRPr="000078EC">
              <w:rPr>
                <w:rFonts w:cs="Arial"/>
                <w:b/>
                <w:szCs w:val="24"/>
              </w:rPr>
              <w:t>Skupina 1: Zvýšení motivace pracovní síly akceptovat zaměstnání</w:t>
            </w:r>
          </w:p>
        </w:tc>
      </w:tr>
      <w:tr w:rsidR="001433C6" w:rsidRPr="00FE3F8B" w:rsidTr="001433C6">
        <w:tc>
          <w:tcPr>
            <w:tcW w:w="71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číslo</w:t>
            </w:r>
          </w:p>
        </w:tc>
        <w:tc>
          <w:tcPr>
            <w:tcW w:w="436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opatření</w:t>
            </w:r>
          </w:p>
        </w:tc>
        <w:tc>
          <w:tcPr>
            <w:tcW w:w="567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popis</w:t>
            </w:r>
          </w:p>
        </w:tc>
        <w:tc>
          <w:tcPr>
            <w:tcW w:w="954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gestor</w:t>
            </w:r>
          </w:p>
        </w:tc>
        <w:tc>
          <w:tcPr>
            <w:tcW w:w="103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 xml:space="preserve">Povaha </w:t>
            </w:r>
          </w:p>
        </w:tc>
        <w:tc>
          <w:tcPr>
            <w:tcW w:w="1496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termín</w:t>
            </w:r>
          </w:p>
        </w:tc>
      </w:tr>
      <w:tr w:rsidR="001433C6" w:rsidRPr="00FE3F8B" w:rsidTr="001433C6">
        <w:tc>
          <w:tcPr>
            <w:tcW w:w="71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1.1</w:t>
            </w:r>
          </w:p>
        </w:tc>
        <w:tc>
          <w:tcPr>
            <w:tcW w:w="436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Veřejná služba</w:t>
            </w:r>
          </w:p>
        </w:tc>
        <w:tc>
          <w:tcPr>
            <w:tcW w:w="5670" w:type="dxa"/>
          </w:tcPr>
          <w:p w:rsidR="001433C6" w:rsidRPr="00FE3F8B" w:rsidRDefault="00F049EE" w:rsidP="00F049EE">
            <w:pPr>
              <w:spacing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Opětovné zavedení bonifikace výkonu veřejné služby s cílem aktivizovat osoby dlouhodobě nezaměstnané, resp. osoby nacházející se v hmotné nouzi s cílem podpořit uchování, resp. znovuzískání nezbytných pracovních návyků</w:t>
            </w:r>
          </w:p>
        </w:tc>
        <w:tc>
          <w:tcPr>
            <w:tcW w:w="954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L</w:t>
            </w:r>
          </w:p>
        </w:tc>
        <w:tc>
          <w:tcPr>
            <w:tcW w:w="1496" w:type="dxa"/>
          </w:tcPr>
          <w:p w:rsidR="001433C6" w:rsidRPr="00FE3F8B" w:rsidRDefault="00413769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2016</w:t>
            </w:r>
          </w:p>
        </w:tc>
      </w:tr>
      <w:tr w:rsidR="001433C6" w:rsidRPr="00FE3F8B" w:rsidTr="001433C6">
        <w:tc>
          <w:tcPr>
            <w:tcW w:w="71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1.2</w:t>
            </w:r>
          </w:p>
        </w:tc>
        <w:tc>
          <w:tcPr>
            <w:tcW w:w="436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Revize nekolidujícího zaměstnání</w:t>
            </w:r>
          </w:p>
        </w:tc>
        <w:tc>
          <w:tcPr>
            <w:tcW w:w="5670" w:type="dxa"/>
          </w:tcPr>
          <w:p w:rsidR="002C4120" w:rsidRPr="00FE3F8B" w:rsidRDefault="002C4120" w:rsidP="00FE3F8B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 xml:space="preserve">Částečné zaměstnávání v souběhu s vedením v evidenci uchazečů o zaměstnání je umožněno od počátku účinnosti zákona o zaměstnanosti, tj. ode dne 1. 10. 2004. Cílem této právní úpravy bylo umožnit zachování pracovních návyků uchazeče </w:t>
            </w:r>
            <w:r w:rsidRPr="00FE3F8B">
              <w:rPr>
                <w:rFonts w:cs="Arial"/>
                <w:szCs w:val="24"/>
              </w:rPr>
              <w:br/>
              <w:t xml:space="preserve">o zaměstnání, případně jejich získání, a podpoření snahy o zvýšení příjmu vlastní prací. Z aktuálních dat vyplývá, že počet vykonávaných nekolidujících zaměstnání se zvyšuje, při tom jsou vykonávány uchazeči o zaměstnání, kteří mohou pracovat a neztratili pracovní návyky. </w:t>
            </w:r>
          </w:p>
          <w:p w:rsidR="002C4120" w:rsidRPr="00FE3F8B" w:rsidRDefault="002C4120" w:rsidP="00FE3F8B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MPSV připraví variantní řešení regulace nekolidujícího zaměstnání tak, aby byla zachována jeho funkčnost, ale zároveň došlo k eliminaci jeho negativních dopadů na zprostředkování zaměstnání. Variabilita možného řešení se pohybuje od úplného zrušení nekolidujícího zaměstnání (nepravděpodobné) po jeho regulaci v oblasti maximální možné odměny, rozsahu či formy využívaného pracovně-právního vztahu.</w:t>
            </w:r>
          </w:p>
        </w:tc>
        <w:tc>
          <w:tcPr>
            <w:tcW w:w="954" w:type="dxa"/>
          </w:tcPr>
          <w:p w:rsidR="001433C6" w:rsidRPr="00FE3F8B" w:rsidRDefault="00AC6C5C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1433C6" w:rsidRPr="00FE3F8B" w:rsidRDefault="00AC6C5C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L</w:t>
            </w:r>
          </w:p>
        </w:tc>
        <w:tc>
          <w:tcPr>
            <w:tcW w:w="1496" w:type="dxa"/>
          </w:tcPr>
          <w:p w:rsidR="001433C6" w:rsidRPr="00FE3F8B" w:rsidRDefault="00413769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2016</w:t>
            </w:r>
          </w:p>
        </w:tc>
      </w:tr>
      <w:tr w:rsidR="001433C6" w:rsidRPr="00FE3F8B" w:rsidTr="001433C6">
        <w:tc>
          <w:tcPr>
            <w:tcW w:w="71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 xml:space="preserve">1.3a </w:t>
            </w:r>
          </w:p>
        </w:tc>
        <w:tc>
          <w:tcPr>
            <w:tcW w:w="436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Zvýšení minimální mzdy</w:t>
            </w:r>
          </w:p>
        </w:tc>
        <w:tc>
          <w:tcPr>
            <w:tcW w:w="5670" w:type="dxa"/>
          </w:tcPr>
          <w:p w:rsidR="001433C6" w:rsidRPr="00FE3F8B" w:rsidRDefault="002C4120" w:rsidP="00FE3F8B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 xml:space="preserve">Odměna za vykonanou práci je primárním zdrojem </w:t>
            </w:r>
            <w:r w:rsidRPr="00FE3F8B">
              <w:rPr>
                <w:rFonts w:cs="Arial"/>
                <w:szCs w:val="24"/>
              </w:rPr>
              <w:lastRenderedPageBreak/>
              <w:t>motivace k akceptaci zaměstnání. V souladu s programovým prohlášením vlády proto po dohodě se sociálními partnery bude vláda pokračovat v přibližování úrovně minimální mzdy vytčené hranici 40 % průměrné mzdy. Zvyšování minimální mzdy bude prováděno v závislosti na udržení konkurenceschopnosti českého hospodářství. Opatření je úzce provázáno s opatřením 1.3b</w:t>
            </w:r>
          </w:p>
        </w:tc>
        <w:tc>
          <w:tcPr>
            <w:tcW w:w="954" w:type="dxa"/>
          </w:tcPr>
          <w:p w:rsidR="001433C6" w:rsidRPr="00FE3F8B" w:rsidRDefault="00AC6C5C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lastRenderedPageBreak/>
              <w:t>MPSV</w:t>
            </w:r>
          </w:p>
        </w:tc>
        <w:tc>
          <w:tcPr>
            <w:tcW w:w="1030" w:type="dxa"/>
          </w:tcPr>
          <w:p w:rsidR="001433C6" w:rsidRPr="00FE3F8B" w:rsidRDefault="00AC6C5C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L</w:t>
            </w:r>
          </w:p>
        </w:tc>
        <w:tc>
          <w:tcPr>
            <w:tcW w:w="1496" w:type="dxa"/>
          </w:tcPr>
          <w:p w:rsidR="001433C6" w:rsidRPr="00FE3F8B" w:rsidRDefault="002C4120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průběžně</w:t>
            </w:r>
          </w:p>
        </w:tc>
      </w:tr>
      <w:tr w:rsidR="001433C6" w:rsidRPr="00FE3F8B" w:rsidTr="001433C6">
        <w:tc>
          <w:tcPr>
            <w:tcW w:w="71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lastRenderedPageBreak/>
              <w:t>1.3b</w:t>
            </w:r>
          </w:p>
        </w:tc>
        <w:tc>
          <w:tcPr>
            <w:tcW w:w="436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Revize dávkového systému</w:t>
            </w:r>
          </w:p>
        </w:tc>
        <w:tc>
          <w:tcPr>
            <w:tcW w:w="5670" w:type="dxa"/>
          </w:tcPr>
          <w:p w:rsidR="001433C6" w:rsidRPr="00FE3F8B" w:rsidRDefault="002C4120" w:rsidP="00FE3F8B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 xml:space="preserve">MPSV provede revizi poskytovaných dávek </w:t>
            </w:r>
            <w:r w:rsidR="00413769" w:rsidRPr="00FE3F8B">
              <w:rPr>
                <w:rFonts w:cs="Arial"/>
                <w:szCs w:val="24"/>
              </w:rPr>
              <w:t>s ohledem na jejich možné dopady na motivaci pracovní síly akceptovat zaměstnání jako základní zdroj příjmu namísto závislosti na příjmu sociálním.</w:t>
            </w:r>
          </w:p>
        </w:tc>
        <w:tc>
          <w:tcPr>
            <w:tcW w:w="954" w:type="dxa"/>
          </w:tcPr>
          <w:p w:rsidR="001433C6" w:rsidRPr="00FE3F8B" w:rsidRDefault="00AC6C5C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1433C6" w:rsidRPr="00FE3F8B" w:rsidRDefault="00AC6C5C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L/NL</w:t>
            </w:r>
          </w:p>
        </w:tc>
        <w:tc>
          <w:tcPr>
            <w:tcW w:w="1496" w:type="dxa"/>
          </w:tcPr>
          <w:p w:rsidR="001433C6" w:rsidRPr="00FE3F8B" w:rsidRDefault="00413769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2016</w:t>
            </w:r>
          </w:p>
        </w:tc>
      </w:tr>
      <w:tr w:rsidR="001433C6" w:rsidRPr="00FE3F8B" w:rsidTr="001433C6">
        <w:tc>
          <w:tcPr>
            <w:tcW w:w="71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1.4</w:t>
            </w:r>
          </w:p>
        </w:tc>
        <w:tc>
          <w:tcPr>
            <w:tcW w:w="4360" w:type="dxa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Příspěvek na podporu regionální mobility</w:t>
            </w:r>
          </w:p>
        </w:tc>
        <w:tc>
          <w:tcPr>
            <w:tcW w:w="5670" w:type="dxa"/>
          </w:tcPr>
          <w:p w:rsidR="001433C6" w:rsidRPr="00FE3F8B" w:rsidRDefault="00AC6C5C" w:rsidP="00FE3F8B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V souladu s Akčním plánem vlády na podporu hospodářského růstu a zaměstnanosti připraví MPSV návrh nového nástroje aktivní politiky zaměstnanosti a jeho pilotní ověření.</w:t>
            </w:r>
          </w:p>
          <w:p w:rsidR="00AC6C5C" w:rsidRPr="00FE3F8B" w:rsidRDefault="00AC6C5C" w:rsidP="00FE3F8B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Uchazečům o zaměstnání, kteří si naleznou pracovní uplatnění mimo místo svého bydliště, bude poskytován v závislosti na vzdálenosti dojížďky finanční příspěvek. Příspěvek bude paušální, podpořená osoba jej bude moci tedy využít na úhradu jak nákladů za dopravu, tak dalších nákladů souvisejících s dojížďkou (či přestěhováním) do zaměstnání.</w:t>
            </w:r>
          </w:p>
        </w:tc>
        <w:tc>
          <w:tcPr>
            <w:tcW w:w="954" w:type="dxa"/>
          </w:tcPr>
          <w:p w:rsidR="001433C6" w:rsidRPr="00FE3F8B" w:rsidRDefault="00AC6C5C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1433C6" w:rsidRPr="00FE3F8B" w:rsidRDefault="00AC6C5C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L/NL</w:t>
            </w:r>
          </w:p>
        </w:tc>
        <w:tc>
          <w:tcPr>
            <w:tcW w:w="1496" w:type="dxa"/>
          </w:tcPr>
          <w:p w:rsidR="001433C6" w:rsidRPr="00FE3F8B" w:rsidRDefault="00AC6C5C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2015</w:t>
            </w:r>
          </w:p>
        </w:tc>
      </w:tr>
      <w:tr w:rsidR="006B14CE" w:rsidRPr="00FE3F8B" w:rsidTr="001433C6">
        <w:tc>
          <w:tcPr>
            <w:tcW w:w="710" w:type="dxa"/>
          </w:tcPr>
          <w:p w:rsidR="006B14CE" w:rsidRPr="00FE3F8B" w:rsidRDefault="006B14CE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1.5</w:t>
            </w:r>
          </w:p>
        </w:tc>
        <w:tc>
          <w:tcPr>
            <w:tcW w:w="4360" w:type="dxa"/>
          </w:tcPr>
          <w:p w:rsidR="006B14CE" w:rsidRPr="00FE3F8B" w:rsidRDefault="006B14CE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Exekuce</w:t>
            </w:r>
          </w:p>
        </w:tc>
        <w:tc>
          <w:tcPr>
            <w:tcW w:w="5670" w:type="dxa"/>
          </w:tcPr>
          <w:p w:rsidR="006B14CE" w:rsidRPr="00FE3F8B" w:rsidRDefault="006B14CE" w:rsidP="00FE3F8B">
            <w:pPr>
              <w:spacing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MPSV ve spolupráci s Ministerstvem spravedlnosti a Ministerstvem vnitra navrhne opatření k řešení problematiky exekucí a jejich negativního dopadu na motivaci pracovní síly přijmout zaměstnání jako zdroj obživy</w:t>
            </w:r>
          </w:p>
        </w:tc>
        <w:tc>
          <w:tcPr>
            <w:tcW w:w="954" w:type="dxa"/>
          </w:tcPr>
          <w:p w:rsidR="006B14CE" w:rsidRDefault="006B14CE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MPSV</w:t>
            </w:r>
          </w:p>
          <w:p w:rsidR="006B14CE" w:rsidRDefault="006B14CE" w:rsidP="006B14CE">
            <w:pPr>
              <w:spacing w:after="20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MSp</w:t>
            </w:r>
            <w:proofErr w:type="spellEnd"/>
          </w:p>
          <w:p w:rsidR="006B14CE" w:rsidRPr="00FE3F8B" w:rsidRDefault="006B14CE" w:rsidP="006B14CE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MV</w:t>
            </w:r>
          </w:p>
        </w:tc>
        <w:tc>
          <w:tcPr>
            <w:tcW w:w="1030" w:type="dxa"/>
          </w:tcPr>
          <w:p w:rsidR="006B14CE" w:rsidRPr="00FE3F8B" w:rsidRDefault="006B14CE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</w:p>
        </w:tc>
        <w:tc>
          <w:tcPr>
            <w:tcW w:w="1496" w:type="dxa"/>
          </w:tcPr>
          <w:p w:rsidR="006B14CE" w:rsidRPr="00FE3F8B" w:rsidRDefault="006B14CE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2016</w:t>
            </w:r>
          </w:p>
        </w:tc>
      </w:tr>
      <w:tr w:rsidR="001433C6" w:rsidRPr="00FE3F8B" w:rsidTr="00D808F8">
        <w:tc>
          <w:tcPr>
            <w:tcW w:w="14220" w:type="dxa"/>
            <w:gridSpan w:val="6"/>
          </w:tcPr>
          <w:p w:rsidR="001433C6" w:rsidRPr="00FE3F8B" w:rsidRDefault="001433C6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Skupina 2: motivace zaměstnavatelů zaměstnávat znevýhodněné skupiny osob (intenzivní využití dostupné pracovní síly)</w:t>
            </w:r>
          </w:p>
        </w:tc>
      </w:tr>
      <w:tr w:rsidR="001433C6" w:rsidRPr="00FE3F8B" w:rsidTr="001433C6">
        <w:tc>
          <w:tcPr>
            <w:tcW w:w="710" w:type="dxa"/>
          </w:tcPr>
          <w:p w:rsidR="001433C6" w:rsidRPr="00FE3F8B" w:rsidRDefault="00413769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2.1</w:t>
            </w:r>
          </w:p>
        </w:tc>
        <w:tc>
          <w:tcPr>
            <w:tcW w:w="4360" w:type="dxa"/>
          </w:tcPr>
          <w:p w:rsidR="001433C6" w:rsidRPr="00FE3F8B" w:rsidRDefault="00413769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Cílené poskytování příspěvků APZ</w:t>
            </w:r>
          </w:p>
        </w:tc>
        <w:tc>
          <w:tcPr>
            <w:tcW w:w="5670" w:type="dxa"/>
          </w:tcPr>
          <w:p w:rsidR="001433C6" w:rsidRPr="00FE3F8B" w:rsidRDefault="00413769" w:rsidP="00FE3F8B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Významně eliminovat tzv. „</w:t>
            </w:r>
            <w:proofErr w:type="spellStart"/>
            <w:r w:rsidRPr="00FE3F8B">
              <w:rPr>
                <w:rFonts w:cs="Arial"/>
                <w:szCs w:val="24"/>
              </w:rPr>
              <w:t>cream</w:t>
            </w:r>
            <w:proofErr w:type="spellEnd"/>
            <w:r w:rsidR="00434D05">
              <w:rPr>
                <w:rFonts w:cs="Arial"/>
                <w:szCs w:val="24"/>
              </w:rPr>
              <w:t>-</w:t>
            </w:r>
            <w:proofErr w:type="spellStart"/>
            <w:r w:rsidR="00434D05">
              <w:rPr>
                <w:rFonts w:cs="Arial"/>
                <w:szCs w:val="24"/>
              </w:rPr>
              <w:t>off</w:t>
            </w:r>
            <w:proofErr w:type="spellEnd"/>
            <w:r w:rsidRPr="00FE3F8B">
              <w:rPr>
                <w:rFonts w:cs="Arial"/>
                <w:szCs w:val="24"/>
              </w:rPr>
              <w:t xml:space="preserve"> </w:t>
            </w:r>
            <w:proofErr w:type="spellStart"/>
            <w:r w:rsidRPr="00FE3F8B">
              <w:rPr>
                <w:rFonts w:cs="Arial"/>
                <w:szCs w:val="24"/>
              </w:rPr>
              <w:t>effect</w:t>
            </w:r>
            <w:proofErr w:type="spellEnd"/>
            <w:r w:rsidRPr="00FE3F8B">
              <w:rPr>
                <w:rFonts w:cs="Arial"/>
                <w:szCs w:val="24"/>
              </w:rPr>
              <w:t xml:space="preserve">“ u nástrojů </w:t>
            </w:r>
            <w:r w:rsidRPr="00FE3F8B">
              <w:rPr>
                <w:rFonts w:cs="Arial"/>
                <w:szCs w:val="24"/>
              </w:rPr>
              <w:lastRenderedPageBreak/>
              <w:t>APZ – tzn. při poskytování příspěvků zaměstnavatelům na podporu zaměstnanosti uchazečů o zaměstnání v rámci cíleně reflektovat míru znevýhodnění uchazeče o zaměstnání na trhu práce. APZ využívat k motivaci zaměstnavatelů zaměstnávat nejvíce znevýhodněné skupiny osob (dlouhodobě nezaměstnané, kumulace hendikepů).</w:t>
            </w:r>
          </w:p>
          <w:p w:rsidR="00413769" w:rsidRPr="00FE3F8B" w:rsidRDefault="00413769" w:rsidP="00FE3F8B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Zvýšený zájem zaměstnavatelů o nové zaměstnance vytváří prostor, resp. šanci pro pracovní uplatnění uchazečů o zaměstnání, kteří pro svůj zdravotní stav, věk, péči o dítě nebo z jiných vážných důvodů mají zhoršené uplatnění na trhu práce a potřebují zvýšenou péči při zprostředkování zaměstnání.</w:t>
            </w:r>
          </w:p>
        </w:tc>
        <w:tc>
          <w:tcPr>
            <w:tcW w:w="954" w:type="dxa"/>
          </w:tcPr>
          <w:p w:rsidR="001433C6" w:rsidRPr="00FE3F8B" w:rsidRDefault="00413769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lastRenderedPageBreak/>
              <w:t>MPSV</w:t>
            </w:r>
          </w:p>
        </w:tc>
        <w:tc>
          <w:tcPr>
            <w:tcW w:w="1030" w:type="dxa"/>
          </w:tcPr>
          <w:p w:rsidR="001433C6" w:rsidRPr="00FE3F8B" w:rsidRDefault="00413769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1433C6" w:rsidRPr="00FE3F8B" w:rsidRDefault="00413769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2016</w:t>
            </w:r>
          </w:p>
        </w:tc>
      </w:tr>
      <w:tr w:rsidR="00AC6C5C" w:rsidRPr="00FE3F8B" w:rsidTr="00D808F8">
        <w:tc>
          <w:tcPr>
            <w:tcW w:w="14220" w:type="dxa"/>
            <w:gridSpan w:val="6"/>
          </w:tcPr>
          <w:p w:rsidR="00AC6C5C" w:rsidRPr="000078EC" w:rsidRDefault="00AC6C5C" w:rsidP="00FE3F8B">
            <w:pPr>
              <w:spacing w:after="200"/>
              <w:jc w:val="left"/>
              <w:rPr>
                <w:rFonts w:cs="Arial"/>
                <w:b/>
                <w:szCs w:val="24"/>
              </w:rPr>
            </w:pPr>
            <w:r w:rsidRPr="000078EC">
              <w:rPr>
                <w:rFonts w:cs="Arial"/>
                <w:b/>
                <w:szCs w:val="24"/>
              </w:rPr>
              <w:lastRenderedPageBreak/>
              <w:t>Skupina 3: intenzifikace činnosti ÚP ČR</w:t>
            </w:r>
          </w:p>
        </w:tc>
      </w:tr>
      <w:tr w:rsidR="00AC6C5C" w:rsidRPr="00FE3F8B" w:rsidTr="001433C6">
        <w:tc>
          <w:tcPr>
            <w:tcW w:w="710" w:type="dxa"/>
          </w:tcPr>
          <w:p w:rsidR="00AC6C5C" w:rsidRPr="00FE3F8B" w:rsidRDefault="006804C0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3.1</w:t>
            </w:r>
          </w:p>
        </w:tc>
        <w:tc>
          <w:tcPr>
            <w:tcW w:w="4360" w:type="dxa"/>
          </w:tcPr>
          <w:p w:rsidR="00AC6C5C" w:rsidRPr="00FE3F8B" w:rsidRDefault="006804C0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Intenzifikace zprostředkovatelské činnosti ÚP ČR</w:t>
            </w:r>
          </w:p>
        </w:tc>
        <w:tc>
          <w:tcPr>
            <w:tcW w:w="5670" w:type="dxa"/>
          </w:tcPr>
          <w:p w:rsidR="00AC6C5C" w:rsidRPr="00FE3F8B" w:rsidRDefault="00083A7D" w:rsidP="00650560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Intenzivní realizace zprostředkovatelských služeb ÚP ČR, tj. včasná a kvalitní reakce na poptávku zaměstnavatelů po nových zaměstnancích. Zejména se jedná o organizaci cílených výběrových řízení za účelem obsazení hlášených volných pracovních míst. Výběrová řízení probíhají jak v prostorách ÚP ČR, tak i přímo v prostorách zaměstnavatelů. V obou případech za aktivní asistence zaměstnanců ÚP ČR v souvislosti s nutnou zpětnou vazbou o přístupu uchazečů o zaměstnání ve věci jejich aktivního zájmu o pracovní uplatnění na trhu práce.</w:t>
            </w:r>
            <w:r w:rsidR="00650560">
              <w:rPr>
                <w:rFonts w:cs="Arial"/>
                <w:szCs w:val="24"/>
              </w:rPr>
              <w:t xml:space="preserve"> Důraz bude kladen na genderovou rovnost v přístupu ke vhodnému zaměstnání.</w:t>
            </w:r>
          </w:p>
        </w:tc>
        <w:tc>
          <w:tcPr>
            <w:tcW w:w="954" w:type="dxa"/>
          </w:tcPr>
          <w:p w:rsidR="00AC6C5C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AC6C5C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AC6C5C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průběžně</w:t>
            </w:r>
          </w:p>
        </w:tc>
      </w:tr>
      <w:tr w:rsidR="00083A7D" w:rsidRPr="00FE3F8B" w:rsidTr="001433C6">
        <w:tc>
          <w:tcPr>
            <w:tcW w:w="710" w:type="dxa"/>
          </w:tcPr>
          <w:p w:rsidR="00083A7D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3.2</w:t>
            </w:r>
          </w:p>
        </w:tc>
        <w:tc>
          <w:tcPr>
            <w:tcW w:w="4360" w:type="dxa"/>
          </w:tcPr>
          <w:p w:rsidR="00083A7D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Párování uchazečů o zaměstnání a volných pracovních míst</w:t>
            </w:r>
          </w:p>
        </w:tc>
        <w:tc>
          <w:tcPr>
            <w:tcW w:w="5670" w:type="dxa"/>
          </w:tcPr>
          <w:p w:rsidR="00083A7D" w:rsidRPr="00FE3F8B" w:rsidRDefault="00083A7D" w:rsidP="00FE3F8B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 xml:space="preserve">V rámci individuální práce s uchazeči o zaměstnání zaměřit pozornost na vydávání konkrétních doporučenek do zaměstnání oproti pouhému vydávání informací o volných pracovních místech. Samozřejmě musí jít o kvalitní výběr vhodných uchazečů o </w:t>
            </w:r>
            <w:r w:rsidRPr="00FE3F8B">
              <w:rPr>
                <w:rFonts w:cs="Arial"/>
                <w:szCs w:val="24"/>
              </w:rPr>
              <w:lastRenderedPageBreak/>
              <w:t>zaměstnání, doporučovaných na hlášená volná pracovní místa. Zde je důležitá spolupráce ze strany zaměstnavatelů spočívající v pečlivém vyplňování výsledku kontaktu uchazeče o zaměstnání se zaměstnavatelem, zejména pokud jde o zájem uchazeče o zaměstnání nastoupit do zprostředkovaného zaměstnání.</w:t>
            </w:r>
          </w:p>
          <w:p w:rsidR="00083A7D" w:rsidRPr="00FE3F8B" w:rsidRDefault="00083A7D" w:rsidP="00650560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Nedílnou částí zprostředkovatelské činnosti ÚP ČR je spolupráce se zaměstnavateli v oblasti zveřejňování nabídek pracovních příležitostí,</w:t>
            </w:r>
            <w:r w:rsidR="00650560">
              <w:rPr>
                <w:rFonts w:cs="Arial"/>
                <w:szCs w:val="24"/>
              </w:rPr>
              <w:t xml:space="preserve"> genderové rovnosti,</w:t>
            </w:r>
            <w:r w:rsidRPr="00FE3F8B">
              <w:rPr>
                <w:rFonts w:cs="Arial"/>
                <w:szCs w:val="24"/>
              </w:rPr>
              <w:t xml:space="preserve"> pořádání burz práce a aktivní působení na pracovní sílu prostřednictvím informačních a poradenských středisek.</w:t>
            </w:r>
            <w:r w:rsidR="00650560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083A7D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lastRenderedPageBreak/>
              <w:t>MPSV</w:t>
            </w:r>
          </w:p>
        </w:tc>
        <w:tc>
          <w:tcPr>
            <w:tcW w:w="1030" w:type="dxa"/>
          </w:tcPr>
          <w:p w:rsidR="00083A7D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083A7D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průběžně</w:t>
            </w:r>
          </w:p>
        </w:tc>
      </w:tr>
      <w:tr w:rsidR="006804C0" w:rsidRPr="00FE3F8B" w:rsidTr="001433C6">
        <w:tc>
          <w:tcPr>
            <w:tcW w:w="710" w:type="dxa"/>
          </w:tcPr>
          <w:p w:rsidR="006804C0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lastRenderedPageBreak/>
              <w:t>3.3</w:t>
            </w:r>
          </w:p>
        </w:tc>
        <w:tc>
          <w:tcPr>
            <w:tcW w:w="4360" w:type="dxa"/>
          </w:tcPr>
          <w:p w:rsidR="006804C0" w:rsidRPr="00FE3F8B" w:rsidRDefault="006804C0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Koordinace politiky zaměstnanosti a sociální politiky</w:t>
            </w:r>
          </w:p>
        </w:tc>
        <w:tc>
          <w:tcPr>
            <w:tcW w:w="5670" w:type="dxa"/>
          </w:tcPr>
          <w:p w:rsidR="006804C0" w:rsidRPr="00FE3F8B" w:rsidRDefault="00083A7D" w:rsidP="00FE3F8B">
            <w:pPr>
              <w:spacing w:after="200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Zvýšit spolupráci v rámci ÚP ČR mezi oblastí zprostředkování zaměstnání a nepojistných sociálních dávek s cílem koordinovat činnost jak na poli politiky zaměstnanosti, tak sociální politiky. Koordinovaně identifikovat možné bariéry při vstupu na trh práce ze strany pracovní síly.</w:t>
            </w:r>
          </w:p>
        </w:tc>
        <w:tc>
          <w:tcPr>
            <w:tcW w:w="954" w:type="dxa"/>
          </w:tcPr>
          <w:p w:rsidR="006804C0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6804C0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6804C0" w:rsidRPr="00FE3F8B" w:rsidRDefault="00083A7D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průběžně</w:t>
            </w:r>
          </w:p>
        </w:tc>
      </w:tr>
      <w:tr w:rsidR="000131FF" w:rsidRPr="00FE3F8B" w:rsidTr="00D808F8">
        <w:tc>
          <w:tcPr>
            <w:tcW w:w="14220" w:type="dxa"/>
            <w:gridSpan w:val="6"/>
          </w:tcPr>
          <w:p w:rsidR="000131FF" w:rsidRPr="000078EC" w:rsidRDefault="000131FF" w:rsidP="00FE3F8B">
            <w:pPr>
              <w:spacing w:after="200"/>
              <w:jc w:val="left"/>
              <w:rPr>
                <w:rFonts w:cs="Arial"/>
                <w:b/>
                <w:szCs w:val="24"/>
              </w:rPr>
            </w:pPr>
            <w:r w:rsidRPr="000078EC">
              <w:rPr>
                <w:rFonts w:cs="Arial"/>
                <w:b/>
                <w:szCs w:val="24"/>
              </w:rPr>
              <w:t>Skupina 4: zvýšení kvalifikačního souladu na trhu práce</w:t>
            </w:r>
          </w:p>
        </w:tc>
      </w:tr>
      <w:tr w:rsidR="006804C0" w:rsidRPr="00FE3F8B" w:rsidTr="001433C6">
        <w:tc>
          <w:tcPr>
            <w:tcW w:w="710" w:type="dxa"/>
          </w:tcPr>
          <w:p w:rsidR="006804C0" w:rsidRPr="00FE3F8B" w:rsidRDefault="000131FF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4.1</w:t>
            </w:r>
          </w:p>
        </w:tc>
        <w:tc>
          <w:tcPr>
            <w:tcW w:w="4360" w:type="dxa"/>
          </w:tcPr>
          <w:p w:rsidR="006804C0" w:rsidRPr="00FE3F8B" w:rsidRDefault="006F370F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Kariérové poradenství</w:t>
            </w:r>
          </w:p>
        </w:tc>
        <w:tc>
          <w:tcPr>
            <w:tcW w:w="5670" w:type="dxa"/>
          </w:tcPr>
          <w:p w:rsidR="006804C0" w:rsidRPr="00FE3F8B" w:rsidRDefault="00B019C4" w:rsidP="00B019C4">
            <w:pPr>
              <w:spacing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 rámci individualizované práce s klienty ÚP ČR budou posíleny útvary informačních a poradenských středisek s cílem zintenzivnit činnost ÚP ČR v oblasti kariérového poradenství a poradenství k volbě povolání s cílem směřovat volnou (a potenciální) pracovní sílu do těch oblastí národního hospodářství, kde je citelný nedostatek vhodné a kvalifikované pracovní síly</w:t>
            </w:r>
          </w:p>
        </w:tc>
        <w:tc>
          <w:tcPr>
            <w:tcW w:w="954" w:type="dxa"/>
          </w:tcPr>
          <w:p w:rsidR="006804C0" w:rsidRPr="00FE3F8B" w:rsidRDefault="00B019C4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6804C0" w:rsidRPr="00FE3F8B" w:rsidRDefault="00B019C4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6804C0" w:rsidRPr="00FE3F8B" w:rsidRDefault="00B019C4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průběžně</w:t>
            </w:r>
          </w:p>
        </w:tc>
      </w:tr>
      <w:tr w:rsidR="000131FF" w:rsidRPr="00FE3F8B" w:rsidTr="001433C6">
        <w:tc>
          <w:tcPr>
            <w:tcW w:w="710" w:type="dxa"/>
          </w:tcPr>
          <w:p w:rsidR="000131FF" w:rsidRPr="00FE3F8B" w:rsidRDefault="000131FF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4.2</w:t>
            </w:r>
          </w:p>
        </w:tc>
        <w:tc>
          <w:tcPr>
            <w:tcW w:w="4360" w:type="dxa"/>
          </w:tcPr>
          <w:p w:rsidR="000131FF" w:rsidRPr="00FE3F8B" w:rsidRDefault="000131FF" w:rsidP="00FE3F8B">
            <w:pPr>
              <w:spacing w:after="200"/>
              <w:jc w:val="left"/>
              <w:rPr>
                <w:rFonts w:cs="Arial"/>
                <w:szCs w:val="24"/>
              </w:rPr>
            </w:pPr>
            <w:r w:rsidRPr="00FE3F8B">
              <w:rPr>
                <w:rFonts w:cs="Arial"/>
                <w:szCs w:val="24"/>
              </w:rPr>
              <w:t>Rekvalifikace</w:t>
            </w:r>
          </w:p>
        </w:tc>
        <w:tc>
          <w:tcPr>
            <w:tcW w:w="5670" w:type="dxa"/>
          </w:tcPr>
          <w:p w:rsidR="000131FF" w:rsidRPr="00FE3F8B" w:rsidRDefault="00CB04A0" w:rsidP="00CB04A0">
            <w:pPr>
              <w:spacing w:after="200"/>
              <w:rPr>
                <w:rFonts w:cs="Arial"/>
                <w:szCs w:val="24"/>
              </w:rPr>
            </w:pPr>
            <w:r w:rsidRPr="00CB04A0">
              <w:rPr>
                <w:rFonts w:cs="Arial"/>
                <w:iCs/>
                <w:color w:val="10253F"/>
                <w:szCs w:val="24"/>
              </w:rPr>
              <w:t>Pro odstranění disproporcí v profesním rozložení nabídky a poptávky bude prováděn</w:t>
            </w:r>
            <w:r>
              <w:rPr>
                <w:rFonts w:cs="Arial"/>
                <w:i/>
                <w:iCs/>
                <w:color w:val="10253F"/>
                <w:szCs w:val="24"/>
              </w:rPr>
              <w:t xml:space="preserve"> </w:t>
            </w:r>
            <w:r w:rsidR="00F94DCA" w:rsidRPr="003020BF">
              <w:rPr>
                <w:rFonts w:cs="Arial"/>
                <w:szCs w:val="24"/>
              </w:rPr>
              <w:t xml:space="preserve">provádět efektivní průzkum požadavků zaměstnavatelů tak, aby rekvalifikační kurzy byly schopny v dostatečném předstihu připravit pracovní sílu. MPSV provede </w:t>
            </w:r>
            <w:r w:rsidR="00F94DCA" w:rsidRPr="003020BF">
              <w:rPr>
                <w:rFonts w:cs="Arial"/>
                <w:szCs w:val="24"/>
              </w:rPr>
              <w:lastRenderedPageBreak/>
              <w:t xml:space="preserve">vyhodnocení </w:t>
            </w:r>
            <w:r w:rsidR="00B019C4" w:rsidRPr="003020BF">
              <w:rPr>
                <w:rFonts w:cs="Arial"/>
                <w:szCs w:val="24"/>
              </w:rPr>
              <w:t xml:space="preserve">efektivity </w:t>
            </w:r>
            <w:r w:rsidR="00F94DCA" w:rsidRPr="003020BF">
              <w:rPr>
                <w:rFonts w:cs="Arial"/>
                <w:szCs w:val="24"/>
              </w:rPr>
              <w:t>nastavení rekvalifikačních kurzů</w:t>
            </w:r>
            <w:r w:rsidR="00B019C4" w:rsidRPr="003020BF">
              <w:rPr>
                <w:rFonts w:cs="Arial"/>
                <w:szCs w:val="24"/>
              </w:rPr>
              <w:t xml:space="preserve"> a vypracuje návrhy směřující ke zvýšení flexibility a efektivity tohoto opatření</w:t>
            </w:r>
            <w:r w:rsidR="00CB6706">
              <w:rPr>
                <w:rFonts w:cs="Arial"/>
                <w:szCs w:val="24"/>
              </w:rPr>
              <w:t>.</w:t>
            </w:r>
          </w:p>
        </w:tc>
        <w:tc>
          <w:tcPr>
            <w:tcW w:w="954" w:type="dxa"/>
          </w:tcPr>
          <w:p w:rsidR="000131FF" w:rsidRPr="00FE3F8B" w:rsidRDefault="00B019C4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MPSV</w:t>
            </w:r>
          </w:p>
        </w:tc>
        <w:tc>
          <w:tcPr>
            <w:tcW w:w="1030" w:type="dxa"/>
          </w:tcPr>
          <w:p w:rsidR="000131FF" w:rsidRPr="00FE3F8B" w:rsidRDefault="00B019C4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0131FF" w:rsidRPr="00FE3F8B" w:rsidRDefault="00B019C4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2016</w:t>
            </w:r>
          </w:p>
        </w:tc>
      </w:tr>
      <w:tr w:rsidR="00635927" w:rsidRPr="00FE3F8B" w:rsidTr="001433C6">
        <w:tc>
          <w:tcPr>
            <w:tcW w:w="710" w:type="dxa"/>
          </w:tcPr>
          <w:p w:rsidR="00635927" w:rsidRPr="00FE3F8B" w:rsidRDefault="00635927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4.3</w:t>
            </w:r>
          </w:p>
        </w:tc>
        <w:tc>
          <w:tcPr>
            <w:tcW w:w="4360" w:type="dxa"/>
          </w:tcPr>
          <w:p w:rsidR="00635927" w:rsidRPr="00FE3F8B" w:rsidRDefault="00635927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Predikce trhu práce</w:t>
            </w:r>
          </w:p>
        </w:tc>
        <w:tc>
          <w:tcPr>
            <w:tcW w:w="5670" w:type="dxa"/>
          </w:tcPr>
          <w:p w:rsidR="00635927" w:rsidRPr="003020BF" w:rsidRDefault="00635927" w:rsidP="00F94DCA">
            <w:pPr>
              <w:spacing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MPSV vytvoří systém predikcí vývoje trhu práce, tak aby bylo možné v dostatečném předstihu reagovat na vývoj trhu práce</w:t>
            </w:r>
            <w:r w:rsidR="00CB6706">
              <w:rPr>
                <w:rFonts w:cs="Arial"/>
                <w:szCs w:val="24"/>
              </w:rPr>
              <w:t xml:space="preserve"> a zabezpečit tak dostatek pracovní síly ve vhodné kvalifikační struktuře.</w:t>
            </w:r>
          </w:p>
        </w:tc>
        <w:tc>
          <w:tcPr>
            <w:tcW w:w="954" w:type="dxa"/>
          </w:tcPr>
          <w:p w:rsidR="00635927" w:rsidRDefault="00635927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635927" w:rsidRDefault="00635927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635927" w:rsidRDefault="00CB6706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2016</w:t>
            </w:r>
          </w:p>
        </w:tc>
      </w:tr>
      <w:tr w:rsidR="00635927" w:rsidRPr="00FE3F8B" w:rsidTr="001433C6">
        <w:tc>
          <w:tcPr>
            <w:tcW w:w="710" w:type="dxa"/>
          </w:tcPr>
          <w:p w:rsidR="00635927" w:rsidRDefault="00635927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4.4</w:t>
            </w:r>
          </w:p>
        </w:tc>
        <w:tc>
          <w:tcPr>
            <w:tcW w:w="4360" w:type="dxa"/>
          </w:tcPr>
          <w:p w:rsidR="00635927" w:rsidRDefault="00635927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Spolupráce na trhu práce</w:t>
            </w:r>
          </w:p>
        </w:tc>
        <w:tc>
          <w:tcPr>
            <w:tcW w:w="5670" w:type="dxa"/>
          </w:tcPr>
          <w:p w:rsidR="00635927" w:rsidRDefault="00CB2708" w:rsidP="00F94DCA">
            <w:pPr>
              <w:spacing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Spolupráce všech zúčastněných aktérů trhu práce (státní správy, zaměstnavatelé, samosprávy, zástupci zaměstnanců, vzdělávací instituce) je zcela nezbytným předpokladem k realizaci významné části výše uvedených opatření.</w:t>
            </w:r>
          </w:p>
          <w:p w:rsidR="00CB2708" w:rsidRDefault="00CB2708" w:rsidP="00CB2708">
            <w:pPr>
              <w:spacing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Ze strany státní správy bude zaměstnavatelům poskytnuta maximální možné podpora při podpoře zaměstnanosti a kvalifikace pracovní síly, zejména z řad znevýhodněných skupin osob.</w:t>
            </w:r>
          </w:p>
          <w:p w:rsidR="00CB2708" w:rsidRPr="003020BF" w:rsidRDefault="00CB2708" w:rsidP="00CB2708">
            <w:pPr>
              <w:spacing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Primární platformou pro posilování spolupráce na trhu práce, zejména v oblasti realizace politiky zaměstnanosti, jsou poradní sbory zřizované Úřadem práce ČR podle zákona č. 435/2004 Sb., zákona o zaměstnanosti.</w:t>
            </w:r>
          </w:p>
        </w:tc>
        <w:tc>
          <w:tcPr>
            <w:tcW w:w="954" w:type="dxa"/>
          </w:tcPr>
          <w:p w:rsidR="00635927" w:rsidRDefault="00635927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635927" w:rsidRDefault="00635927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635927" w:rsidRDefault="00CB2708" w:rsidP="00FE3F8B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průběžně</w:t>
            </w:r>
          </w:p>
        </w:tc>
      </w:tr>
    </w:tbl>
    <w:p w:rsidR="000078EC" w:rsidRDefault="000078EC" w:rsidP="00FE3F8B">
      <w:pPr>
        <w:spacing w:after="200" w:line="240" w:lineRule="auto"/>
        <w:jc w:val="left"/>
        <w:rPr>
          <w:rFonts w:cs="Arial"/>
          <w:szCs w:val="24"/>
        </w:rPr>
        <w:sectPr w:rsidR="000078EC" w:rsidSect="001433C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433C6" w:rsidRPr="000078EC" w:rsidRDefault="000078EC" w:rsidP="000078EC">
      <w:pPr>
        <w:spacing w:after="200" w:line="240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Přílohy:</w:t>
      </w:r>
    </w:p>
    <w:p w:rsidR="004D28E9" w:rsidRDefault="002A2E9D" w:rsidP="002A2E9D">
      <w:pPr>
        <w:spacing w:before="120" w:line="240" w:lineRule="auto"/>
        <w:rPr>
          <w:rFonts w:cs="Arial"/>
          <w:szCs w:val="24"/>
        </w:rPr>
      </w:pPr>
      <w:r>
        <w:rPr>
          <w:rFonts w:cs="Arial"/>
          <w:szCs w:val="24"/>
        </w:rPr>
        <w:t>Příloha č. 1: Situace v jednotlivých krajích ČR</w:t>
      </w:r>
    </w:p>
    <w:p w:rsidR="002A2E9D" w:rsidRDefault="002A2E9D" w:rsidP="002A2E9D">
      <w:pPr>
        <w:spacing w:before="120" w:line="240" w:lineRule="auto"/>
        <w:rPr>
          <w:rFonts w:cs="Arial"/>
          <w:szCs w:val="24"/>
        </w:rPr>
      </w:pPr>
      <w:r>
        <w:rPr>
          <w:rFonts w:cs="Arial"/>
          <w:szCs w:val="24"/>
        </w:rPr>
        <w:t>Příloha č. 2: Nabídka a poptávka na trhu práce v jednotlivých krajích podle okresů</w:t>
      </w:r>
    </w:p>
    <w:p w:rsidR="00497449" w:rsidRPr="00FE3F8B" w:rsidRDefault="00497449" w:rsidP="002A2E9D">
      <w:pPr>
        <w:spacing w:before="120" w:line="240" w:lineRule="auto"/>
        <w:rPr>
          <w:rFonts w:cs="Arial"/>
          <w:szCs w:val="24"/>
        </w:rPr>
      </w:pPr>
      <w:r>
        <w:rPr>
          <w:rFonts w:cs="Arial"/>
          <w:szCs w:val="24"/>
        </w:rPr>
        <w:t>Příloha č. 3: Manažerské shrnutí</w:t>
      </w:r>
    </w:p>
    <w:sectPr w:rsidR="00497449" w:rsidRPr="00FE3F8B" w:rsidSect="0000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52" w:rsidRDefault="00A87F52" w:rsidP="0000359B">
      <w:pPr>
        <w:spacing w:line="240" w:lineRule="auto"/>
      </w:pPr>
      <w:r>
        <w:separator/>
      </w:r>
    </w:p>
  </w:endnote>
  <w:endnote w:type="continuationSeparator" w:id="0">
    <w:p w:rsidR="00A87F52" w:rsidRDefault="00A87F52" w:rsidP="00003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37274"/>
      <w:docPartObj>
        <w:docPartGallery w:val="Page Numbers (Bottom of Page)"/>
        <w:docPartUnique/>
      </w:docPartObj>
    </w:sdtPr>
    <w:sdtContent>
      <w:p w:rsidR="0000359B" w:rsidRDefault="00372BB4">
        <w:pPr>
          <w:pStyle w:val="Zpat"/>
          <w:jc w:val="center"/>
        </w:pPr>
        <w:r>
          <w:fldChar w:fldCharType="begin"/>
        </w:r>
        <w:r w:rsidR="0000359B">
          <w:instrText>PAGE   \* MERGEFORMAT</w:instrText>
        </w:r>
        <w:r>
          <w:fldChar w:fldCharType="separate"/>
        </w:r>
        <w:r w:rsidR="00E833FA">
          <w:rPr>
            <w:noProof/>
          </w:rPr>
          <w:t>1</w:t>
        </w:r>
        <w:r>
          <w:fldChar w:fldCharType="end"/>
        </w:r>
      </w:p>
    </w:sdtContent>
  </w:sdt>
  <w:p w:rsidR="0000359B" w:rsidRDefault="000035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52" w:rsidRDefault="00A87F52" w:rsidP="0000359B">
      <w:pPr>
        <w:spacing w:line="240" w:lineRule="auto"/>
      </w:pPr>
      <w:r>
        <w:separator/>
      </w:r>
    </w:p>
  </w:footnote>
  <w:footnote w:type="continuationSeparator" w:id="0">
    <w:p w:rsidR="00A87F52" w:rsidRDefault="00A87F52" w:rsidP="00003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772"/>
    <w:multiLevelType w:val="hybridMultilevel"/>
    <w:tmpl w:val="B5448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0069"/>
    <w:multiLevelType w:val="hybridMultilevel"/>
    <w:tmpl w:val="2370FF2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4917E4"/>
    <w:multiLevelType w:val="multilevel"/>
    <w:tmpl w:val="F81E181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">
    <w:nsid w:val="51166E77"/>
    <w:multiLevelType w:val="hybridMultilevel"/>
    <w:tmpl w:val="E572EE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92979"/>
    <w:multiLevelType w:val="hybridMultilevel"/>
    <w:tmpl w:val="B08A51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051D"/>
    <w:multiLevelType w:val="hybridMultilevel"/>
    <w:tmpl w:val="CF0C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33D4B"/>
    <w:multiLevelType w:val="hybridMultilevel"/>
    <w:tmpl w:val="50C4C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F0A94"/>
    <w:multiLevelType w:val="hybridMultilevel"/>
    <w:tmpl w:val="3CC81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C2"/>
    <w:rsid w:val="0000359B"/>
    <w:rsid w:val="000078EC"/>
    <w:rsid w:val="000131FF"/>
    <w:rsid w:val="00035E91"/>
    <w:rsid w:val="000626D5"/>
    <w:rsid w:val="00083A7D"/>
    <w:rsid w:val="00092E70"/>
    <w:rsid w:val="00095AE2"/>
    <w:rsid w:val="000E0C7B"/>
    <w:rsid w:val="00105F6F"/>
    <w:rsid w:val="001433C6"/>
    <w:rsid w:val="00165814"/>
    <w:rsid w:val="0017476D"/>
    <w:rsid w:val="00182B6B"/>
    <w:rsid w:val="001C740B"/>
    <w:rsid w:val="001F6AD5"/>
    <w:rsid w:val="00205D3B"/>
    <w:rsid w:val="002444D6"/>
    <w:rsid w:val="002A2E9D"/>
    <w:rsid w:val="002C4120"/>
    <w:rsid w:val="002D7DC2"/>
    <w:rsid w:val="003020BF"/>
    <w:rsid w:val="00372BB4"/>
    <w:rsid w:val="00392FA5"/>
    <w:rsid w:val="003A46E7"/>
    <w:rsid w:val="00410C85"/>
    <w:rsid w:val="00413769"/>
    <w:rsid w:val="00434D05"/>
    <w:rsid w:val="0044013B"/>
    <w:rsid w:val="00465499"/>
    <w:rsid w:val="00497449"/>
    <w:rsid w:val="004C7874"/>
    <w:rsid w:val="004D28E9"/>
    <w:rsid w:val="00510439"/>
    <w:rsid w:val="005B3676"/>
    <w:rsid w:val="005C26D6"/>
    <w:rsid w:val="00625786"/>
    <w:rsid w:val="00635927"/>
    <w:rsid w:val="00644202"/>
    <w:rsid w:val="00650560"/>
    <w:rsid w:val="006804C0"/>
    <w:rsid w:val="006B14CE"/>
    <w:rsid w:val="006F370F"/>
    <w:rsid w:val="007A6F52"/>
    <w:rsid w:val="007F297A"/>
    <w:rsid w:val="008523B5"/>
    <w:rsid w:val="0089103B"/>
    <w:rsid w:val="008C0148"/>
    <w:rsid w:val="008D200F"/>
    <w:rsid w:val="008D2452"/>
    <w:rsid w:val="008D32A2"/>
    <w:rsid w:val="008E57FB"/>
    <w:rsid w:val="00976666"/>
    <w:rsid w:val="009C5C6A"/>
    <w:rsid w:val="00A12465"/>
    <w:rsid w:val="00A34852"/>
    <w:rsid w:val="00A87F52"/>
    <w:rsid w:val="00AA7A14"/>
    <w:rsid w:val="00AB77E3"/>
    <w:rsid w:val="00AC68A4"/>
    <w:rsid w:val="00AC6C5C"/>
    <w:rsid w:val="00B019C4"/>
    <w:rsid w:val="00BA4913"/>
    <w:rsid w:val="00BC0ED9"/>
    <w:rsid w:val="00BC7391"/>
    <w:rsid w:val="00BE79D9"/>
    <w:rsid w:val="00C175E1"/>
    <w:rsid w:val="00C26B21"/>
    <w:rsid w:val="00C4414F"/>
    <w:rsid w:val="00C44BFF"/>
    <w:rsid w:val="00CA6F34"/>
    <w:rsid w:val="00CB04A0"/>
    <w:rsid w:val="00CB2708"/>
    <w:rsid w:val="00CB6706"/>
    <w:rsid w:val="00CD44EC"/>
    <w:rsid w:val="00CD4E07"/>
    <w:rsid w:val="00D808F8"/>
    <w:rsid w:val="00DF47B1"/>
    <w:rsid w:val="00DF6843"/>
    <w:rsid w:val="00E807ED"/>
    <w:rsid w:val="00E833FA"/>
    <w:rsid w:val="00EA569E"/>
    <w:rsid w:val="00ED7DE4"/>
    <w:rsid w:val="00EF5DCC"/>
    <w:rsid w:val="00F03D56"/>
    <w:rsid w:val="00F049EE"/>
    <w:rsid w:val="00F216F9"/>
    <w:rsid w:val="00F65933"/>
    <w:rsid w:val="00F94DCA"/>
    <w:rsid w:val="00FB49B8"/>
    <w:rsid w:val="00F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4EC"/>
    <w:pPr>
      <w:ind w:left="720"/>
      <w:contextualSpacing/>
    </w:pPr>
  </w:style>
  <w:style w:type="table" w:styleId="Mkatabulky">
    <w:name w:val="Table Grid"/>
    <w:basedOn w:val="Normlntabulka"/>
    <w:uiPriority w:val="59"/>
    <w:rsid w:val="0014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uiPriority w:val="99"/>
    <w:unhideWhenUsed/>
    <w:rsid w:val="00D808F8"/>
    <w:pPr>
      <w:spacing w:line="240" w:lineRule="auto"/>
      <w:ind w:left="283" w:hanging="283"/>
      <w:jc w:val="left"/>
    </w:pPr>
    <w:rPr>
      <w:rFonts w:ascii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808F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08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59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003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59B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A7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A1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A14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4EC"/>
    <w:pPr>
      <w:ind w:left="720"/>
      <w:contextualSpacing/>
    </w:pPr>
  </w:style>
  <w:style w:type="table" w:styleId="Mkatabulky">
    <w:name w:val="Table Grid"/>
    <w:basedOn w:val="Normlntabulka"/>
    <w:uiPriority w:val="59"/>
    <w:rsid w:val="0014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uiPriority w:val="99"/>
    <w:unhideWhenUsed/>
    <w:rsid w:val="00D808F8"/>
    <w:pPr>
      <w:spacing w:line="240" w:lineRule="auto"/>
      <w:ind w:left="283" w:hanging="283"/>
      <w:jc w:val="left"/>
    </w:pPr>
    <w:rPr>
      <w:rFonts w:ascii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808F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08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59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003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59B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A7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A1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A1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ProchazkovaE\Anal&#253;zy%20zam%20nezam_podklady\1p2015\tabulky_nezam_1p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143_statistiky\45\STATISTIKY\casove%20rady\Qstatistika\QCASRAok28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ANAL&#221;ZA%20ZAM&#282;STNANOSTI%20A%20NEZAM&#282;STNANOSTI\1pol_2015\tabulky_grafy_p&#345;&#237;lohy\grafy%20mezin&#225;r%20srovn&#225;n&#237;_1p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ANAL&#221;ZA%20ZAM&#282;STNANOSTI%20A%20NEZAM&#282;STNANOSTI\1pol_2015\tabulky_grafy_p&#345;&#237;lohy\grafy%20mezin&#225;r%20srovn&#225;n&#237;_1p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\UCH%20a%20VPM%20v%20obdob&#237;%202004%20-%201p2015_pro%20P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143_statistiky\45\STATISTIKY\casove%20rady\Qstatistika\QCASRAok28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Uchazeči o zaměstnání na 1 </a:t>
            </a:r>
            <a:r>
              <a:rPr lang="en-US" sz="1400"/>
              <a:t>VPM</a:t>
            </a:r>
            <a:r>
              <a:rPr lang="cs-CZ" sz="1400"/>
              <a:t> </a:t>
            </a:r>
          </a:p>
          <a:p>
            <a:pPr>
              <a:defRPr/>
            </a:pPr>
            <a:r>
              <a:rPr lang="cs-CZ" sz="1200"/>
              <a:t>podle krajů k 30. 9. 2015 </a:t>
            </a:r>
            <a:endParaRPr lang="en-US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14"/>
            <c:spPr>
              <a:solidFill>
                <a:srgbClr val="A9172C"/>
              </a:solidFill>
            </c:spPr>
          </c:dPt>
          <c:dLbls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strRef>
              <c:f>'tab. 22 regiony pololetí'!$AF$5:$AF$19</c:f>
              <c:strCache>
                <c:ptCount val="15"/>
                <c:pt idx="0">
                  <c:v>Hl. m.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Zlínsky kraj</c:v>
                </c:pt>
                <c:pt idx="13">
                  <c:v>Moravskoslezský kraj</c:v>
                </c:pt>
                <c:pt idx="14">
                  <c:v>Průměr ČR</c:v>
                </c:pt>
              </c:strCache>
            </c:strRef>
          </c:cat>
          <c:val>
            <c:numRef>
              <c:f>'tab. 22 regiony pololetí'!$AE$5:$AE$19</c:f>
              <c:numCache>
                <c:formatCode>0.0</c:formatCode>
                <c:ptCount val="15"/>
                <c:pt idx="0">
                  <c:v>2.9652483343428209</c:v>
                </c:pt>
                <c:pt idx="1">
                  <c:v>3.5316605166051653</c:v>
                </c:pt>
                <c:pt idx="2">
                  <c:v>2.7267329466998071</c:v>
                </c:pt>
                <c:pt idx="3">
                  <c:v>2.1742331288343566</c:v>
                </c:pt>
                <c:pt idx="4">
                  <c:v>4.1669098336737669</c:v>
                </c:pt>
                <c:pt idx="5">
                  <c:v>8.275851046827551</c:v>
                </c:pt>
                <c:pt idx="6">
                  <c:v>3.3269002877941425</c:v>
                </c:pt>
                <c:pt idx="7">
                  <c:v>3.5350495049504942</c:v>
                </c:pt>
                <c:pt idx="8">
                  <c:v>2.4789953655254897</c:v>
                </c:pt>
                <c:pt idx="9">
                  <c:v>4.5223529411764689</c:v>
                </c:pt>
                <c:pt idx="10">
                  <c:v>5.3296605122096494</c:v>
                </c:pt>
                <c:pt idx="11">
                  <c:v>4.5424144807485805</c:v>
                </c:pt>
                <c:pt idx="12">
                  <c:v>3.7703618040641005</c:v>
                </c:pt>
                <c:pt idx="13">
                  <c:v>5.8959580224645407</c:v>
                </c:pt>
                <c:pt idx="14">
                  <c:v>4.0699989868567688</c:v>
                </c:pt>
              </c:numCache>
            </c:numRef>
          </c:val>
        </c:ser>
        <c:axId val="14944896"/>
        <c:axId val="14946688"/>
      </c:barChart>
      <c:catAx>
        <c:axId val="149448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4946688"/>
        <c:crosses val="autoZero"/>
        <c:auto val="1"/>
        <c:lblAlgn val="ctr"/>
        <c:lblOffset val="100"/>
      </c:catAx>
      <c:valAx>
        <c:axId val="14946688"/>
        <c:scaling>
          <c:orientation val="minMax"/>
          <c:max val="12"/>
        </c:scaling>
        <c:axPos val="l"/>
        <c:majorGridlines/>
        <c:numFmt formatCode="0.0" sourceLinked="1"/>
        <c:majorTickMark val="none"/>
        <c:tickLblPos val="nextTo"/>
        <c:crossAx val="14944896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Počet uchazečů o zaměstnání na 1 VPM</a:t>
            </a:r>
          </a:p>
          <a:p>
            <a:pPr>
              <a:defRPr/>
            </a:pPr>
            <a:r>
              <a:rPr lang="cs-CZ" sz="1200"/>
              <a:t>podle kategorií zaměstnání </a:t>
            </a:r>
          </a:p>
        </c:rich>
      </c:tx>
    </c:title>
    <c:plotArea>
      <c:layout>
        <c:manualLayout>
          <c:layoutTarget val="inner"/>
          <c:xMode val="edge"/>
          <c:yMode val="edge"/>
          <c:x val="0.1064328521434821"/>
          <c:y val="0.19480351414406533"/>
          <c:w val="0.86301159230096258"/>
          <c:h val="0.62293744531933515"/>
        </c:manualLayout>
      </c:layout>
      <c:barChart>
        <c:barDir val="col"/>
        <c:grouping val="clustered"/>
        <c:ser>
          <c:idx val="0"/>
          <c:order val="0"/>
          <c:tx>
            <c:strRef>
              <c:f>celkem!$CG$4</c:f>
              <c:strCache>
                <c:ptCount val="1"/>
                <c:pt idx="0">
                  <c:v>30.09.15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howVal val="1"/>
          </c:dLbls>
          <c:cat>
            <c:strRef>
              <c:f>celkem!$A$176:$A$184</c:f>
              <c:strCache>
                <c:ptCount val="9"/>
                <c:pt idx="0">
                  <c:v>Zákonodárci a říd. prac.</c:v>
                </c:pt>
                <c:pt idx="1">
                  <c:v>Specialisté</c:v>
                </c:pt>
                <c:pt idx="2">
                  <c:v>Techn. a odb. pracovníci </c:v>
                </c:pt>
                <c:pt idx="3">
                  <c:v>Úředníci </c:v>
                </c:pt>
                <c:pt idx="4">
                  <c:v>Prac. ve službách a prodeji </c:v>
                </c:pt>
                <c:pt idx="5">
                  <c:v>Kval. dělníci v zemědělství</c:v>
                </c:pt>
                <c:pt idx="6">
                  <c:v>Řemeslníci a opraváři </c:v>
                </c:pt>
                <c:pt idx="7">
                  <c:v>Obsluha strojů a zařízení </c:v>
                </c:pt>
                <c:pt idx="8">
                  <c:v>Pomoc. a nekval. pracovníci</c:v>
                </c:pt>
              </c:strCache>
            </c:strRef>
          </c:cat>
          <c:val>
            <c:numRef>
              <c:f>celkem!$CG$176:$CG$184</c:f>
              <c:numCache>
                <c:formatCode>0.0</c:formatCode>
                <c:ptCount val="9"/>
                <c:pt idx="0">
                  <c:v>4.1072891072891071</c:v>
                </c:pt>
                <c:pt idx="1">
                  <c:v>3.3278344750454356</c:v>
                </c:pt>
                <c:pt idx="2">
                  <c:v>3.1364033809385004</c:v>
                </c:pt>
                <c:pt idx="3">
                  <c:v>10.784466019417476</c:v>
                </c:pt>
                <c:pt idx="4">
                  <c:v>5.4584400068271037</c:v>
                </c:pt>
                <c:pt idx="5">
                  <c:v>7.1556683587140437</c:v>
                </c:pt>
                <c:pt idx="6">
                  <c:v>2.2832540804523851</c:v>
                </c:pt>
                <c:pt idx="7">
                  <c:v>1.6492166602980511</c:v>
                </c:pt>
                <c:pt idx="8">
                  <c:v>6.1480065259508505</c:v>
                </c:pt>
              </c:numCache>
            </c:numRef>
          </c:val>
        </c:ser>
        <c:gapWidth val="68"/>
        <c:axId val="14974976"/>
        <c:axId val="14976512"/>
      </c:barChart>
      <c:catAx>
        <c:axId val="149749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4976512"/>
        <c:crosses val="autoZero"/>
        <c:auto val="1"/>
        <c:lblAlgn val="ctr"/>
        <c:lblOffset val="100"/>
        <c:tickLblSkip val="1"/>
      </c:catAx>
      <c:valAx>
        <c:axId val="1497651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4974976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b"/>
      <c:layout>
        <c:manualLayout>
          <c:xMode val="edge"/>
          <c:yMode val="edge"/>
          <c:x val="0.64515135608049035"/>
          <c:y val="0.30980132691746887"/>
          <c:w val="0.30969706911636047"/>
          <c:h val="8.3717191601049901E-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 sz="800"/>
            </a:pPr>
            <a:r>
              <a:rPr lang="cs-CZ" sz="800">
                <a:latin typeface="Arial" pitchFamily="34" charset="0"/>
                <a:cs typeface="Arial" pitchFamily="34" charset="0"/>
              </a:rPr>
              <a:t>Podíl sektorů na zaměstnanosti v EU 28</a:t>
            </a:r>
          </a:p>
          <a:p>
            <a:pPr>
              <a:defRPr sz="800"/>
            </a:pPr>
            <a:r>
              <a:rPr lang="cs-CZ" sz="800">
                <a:latin typeface="Arial" pitchFamily="34" charset="0"/>
                <a:cs typeface="Arial" pitchFamily="34" charset="0"/>
              </a:rPr>
              <a:t>v 2. čtvrtletí 2015</a:t>
            </a:r>
          </a:p>
        </c:rich>
      </c:tx>
    </c:title>
    <c:view3D>
      <c:rotX val="30"/>
      <c:rotY val="50"/>
      <c:perspective val="30"/>
    </c:view3D>
    <c:plotArea>
      <c:layout>
        <c:manualLayout>
          <c:layoutTarget val="inner"/>
          <c:xMode val="edge"/>
          <c:yMode val="edge"/>
          <c:x val="0.12061961345740874"/>
          <c:y val="0.32536291136684875"/>
          <c:w val="0.75876115485564299"/>
          <c:h val="0.57573037494205392"/>
        </c:manualLayout>
      </c:layout>
      <c:pie3DChart>
        <c:varyColors val="1"/>
        <c:ser>
          <c:idx val="0"/>
          <c:order val="0"/>
          <c:tx>
            <c:strRef>
              <c:f>sektory!$A$3</c:f>
              <c:strCache>
                <c:ptCount val="1"/>
                <c:pt idx="0">
                  <c:v>EU28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6461560486757346E-2"/>
                  <c:y val="1.377044215626892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"/>
                  <c:y val="0.184820815667272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1328847530422345E-2"/>
                  <c:y val="-0.19074550777306684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sektory!$B$2:$D$2</c:f>
              <c:strCache>
                <c:ptCount val="3"/>
                <c:pt idx="0">
                  <c:v>primární (zeměděl., lesn.)</c:v>
                </c:pt>
                <c:pt idx="1">
                  <c:v>sekundární (prům. a staveb.)</c:v>
                </c:pt>
                <c:pt idx="2">
                  <c:v>terciární (služby)</c:v>
                </c:pt>
              </c:strCache>
            </c:strRef>
          </c:cat>
          <c:val>
            <c:numRef>
              <c:f>sektory!$B$3:$D$3</c:f>
              <c:numCache>
                <c:formatCode>0.0</c:formatCode>
                <c:ptCount val="3"/>
                <c:pt idx="0">
                  <c:v>4.9000000000000004</c:v>
                </c:pt>
                <c:pt idx="1">
                  <c:v>21.7</c:v>
                </c:pt>
                <c:pt idx="2">
                  <c:v>73.400000000000006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 sz="800"/>
            </a:pPr>
            <a:r>
              <a:rPr lang="cs-CZ" sz="800">
                <a:latin typeface="Arial" pitchFamily="34" charset="0"/>
                <a:cs typeface="Arial" pitchFamily="34" charset="0"/>
              </a:rPr>
              <a:t>Podíl sektorů na zaměstnanosti v ČR</a:t>
            </a:r>
          </a:p>
          <a:p>
            <a:pPr>
              <a:defRPr sz="800"/>
            </a:pPr>
            <a:r>
              <a:rPr lang="cs-CZ" sz="800">
                <a:latin typeface="Arial" pitchFamily="34" charset="0"/>
                <a:cs typeface="Arial" pitchFamily="34" charset="0"/>
              </a:rPr>
              <a:t>v 2. čtvrtletí 2015</a:t>
            </a:r>
          </a:p>
        </c:rich>
      </c:tx>
    </c:title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0.12061942257217849"/>
          <c:y val="0.31254222994644193"/>
          <c:w val="0.75876115485564299"/>
          <c:h val="0.57573037494205392"/>
        </c:manualLayout>
      </c:layout>
      <c:pie3DChart>
        <c:varyColors val="1"/>
        <c:ser>
          <c:idx val="0"/>
          <c:order val="0"/>
          <c:tx>
            <c:strRef>
              <c:f>sektory!$A$4</c:f>
              <c:strCache>
                <c:ptCount val="1"/>
                <c:pt idx="0">
                  <c:v>Česká republika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540668954842194"/>
                  <c:y val="4.680104413809858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"/>
                  <c:y val="0.181795074658729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4.7863247863247901E-2"/>
                  <c:y val="-0.1659001842294778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sektory!$B$2:$D$2</c:f>
              <c:strCache>
                <c:ptCount val="3"/>
                <c:pt idx="0">
                  <c:v>primární (zeměděl., lesn.)</c:v>
                </c:pt>
                <c:pt idx="1">
                  <c:v>sekundární (prům. a staveb.)</c:v>
                </c:pt>
                <c:pt idx="2">
                  <c:v>terciární (služby)</c:v>
                </c:pt>
              </c:strCache>
            </c:strRef>
          </c:cat>
          <c:val>
            <c:numRef>
              <c:f>sektory!$B$4:$D$4</c:f>
              <c:numCache>
                <c:formatCode>0.0</c:formatCode>
                <c:ptCount val="3"/>
                <c:pt idx="0">
                  <c:v>3.3</c:v>
                </c:pt>
                <c:pt idx="1">
                  <c:v>36.9</c:v>
                </c:pt>
                <c:pt idx="2">
                  <c:v>59.8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 sz="1400"/>
            </a:pPr>
            <a:r>
              <a:rPr lang="cs-CZ" sz="1400"/>
              <a:t>Uchazeči o zaměstnání a VPM v období </a:t>
            </a:r>
            <a:r>
              <a:rPr lang="cs-CZ" sz="1400" baseline="0"/>
              <a:t>2004 - 1. pol. 2015</a:t>
            </a:r>
            <a:endParaRPr lang="cs-CZ" sz="1400"/>
          </a:p>
        </c:rich>
      </c:tx>
    </c:title>
    <c:plotArea>
      <c:layout>
        <c:manualLayout>
          <c:layoutTarget val="inner"/>
          <c:xMode val="edge"/>
          <c:yMode val="edge"/>
          <c:x val="0.10238949132943163"/>
          <c:y val="0.13088403630198414"/>
          <c:w val="0.87580418533261772"/>
          <c:h val="0.75313630642769924"/>
        </c:manualLayout>
      </c:layout>
      <c:barChart>
        <c:barDir val="col"/>
        <c:grouping val="clustered"/>
        <c:ser>
          <c:idx val="0"/>
          <c:order val="0"/>
          <c:tx>
            <c:strRef>
              <c:f>List1!$A$5</c:f>
              <c:strCache>
                <c:ptCount val="1"/>
                <c:pt idx="0">
                  <c:v>uchazeči o zaměstnání</c:v>
                </c:pt>
              </c:strCache>
            </c:strRef>
          </c:tx>
          <c:cat>
            <c:strRef>
              <c:f>List1!$B$4:$M$4</c:f>
              <c:strCach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1.pol. 2015</c:v>
                </c:pt>
              </c:strCache>
            </c:strRef>
          </c:cat>
          <c:val>
            <c:numRef>
              <c:f>List1!$B$5:$M$5</c:f>
              <c:numCache>
                <c:formatCode>#,##0</c:formatCode>
                <c:ptCount val="12"/>
                <c:pt idx="0">
                  <c:v>537425.54166666686</c:v>
                </c:pt>
                <c:pt idx="1">
                  <c:v>514309.875</c:v>
                </c:pt>
                <c:pt idx="2">
                  <c:v>474790.125</c:v>
                </c:pt>
                <c:pt idx="3">
                  <c:v>392777.2916666668</c:v>
                </c:pt>
                <c:pt idx="4">
                  <c:v>324574.66666666669</c:v>
                </c:pt>
                <c:pt idx="5">
                  <c:v>465575.58333333343</c:v>
                </c:pt>
                <c:pt idx="6">
                  <c:v>528749.625</c:v>
                </c:pt>
                <c:pt idx="7">
                  <c:v>507779.25</c:v>
                </c:pt>
                <c:pt idx="8">
                  <c:v>504381.4166666668</c:v>
                </c:pt>
                <c:pt idx="9">
                  <c:v>564447.91666666686</c:v>
                </c:pt>
                <c:pt idx="10">
                  <c:v>561437.125</c:v>
                </c:pt>
                <c:pt idx="11">
                  <c:v>513925.25</c:v>
                </c:pt>
              </c:numCache>
            </c:numRef>
          </c:val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VPM</c:v>
                </c:pt>
              </c:strCache>
            </c:strRef>
          </c:tx>
          <c:cat>
            <c:strRef>
              <c:f>List1!$B$4:$M$4</c:f>
              <c:strCach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1.pol. 2015</c:v>
                </c:pt>
              </c:strCache>
            </c:strRef>
          </c:cat>
          <c:val>
            <c:numRef>
              <c:f>List1!$B$6:$M$6</c:f>
              <c:numCache>
                <c:formatCode>#,##0</c:formatCode>
                <c:ptCount val="12"/>
                <c:pt idx="0">
                  <c:v>45595.04166666665</c:v>
                </c:pt>
                <c:pt idx="1">
                  <c:v>55651.875</c:v>
                </c:pt>
                <c:pt idx="2">
                  <c:v>82515.875000000029</c:v>
                </c:pt>
                <c:pt idx="3">
                  <c:v>121993.12500000003</c:v>
                </c:pt>
                <c:pt idx="4">
                  <c:v>141776.20833333334</c:v>
                </c:pt>
                <c:pt idx="5">
                  <c:v>48554.083333333336</c:v>
                </c:pt>
                <c:pt idx="6">
                  <c:v>33146.5</c:v>
                </c:pt>
                <c:pt idx="7">
                  <c:v>36492.875</c:v>
                </c:pt>
                <c:pt idx="8">
                  <c:v>39877.791666666635</c:v>
                </c:pt>
                <c:pt idx="9">
                  <c:v>38964.04166666665</c:v>
                </c:pt>
                <c:pt idx="10">
                  <c:v>48681.875</c:v>
                </c:pt>
                <c:pt idx="11">
                  <c:v>76922</c:v>
                </c:pt>
              </c:numCache>
            </c:numRef>
          </c:val>
        </c:ser>
        <c:axId val="15089664"/>
        <c:axId val="15091200"/>
      </c:barChart>
      <c:catAx>
        <c:axId val="1508966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cs-CZ"/>
          </a:p>
        </c:txPr>
        <c:crossAx val="15091200"/>
        <c:crosses val="autoZero"/>
        <c:auto val="1"/>
        <c:lblAlgn val="ctr"/>
        <c:lblOffset val="100"/>
      </c:catAx>
      <c:valAx>
        <c:axId val="15091200"/>
        <c:scaling>
          <c:orientation val="minMax"/>
        </c:scaling>
        <c:axPos val="l"/>
        <c:majorGridlines/>
        <c:numFmt formatCode="#,##0" sourceLinked="1"/>
        <c:tickLblPos val="nextTo"/>
        <c:crossAx val="15089664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1633505028837149E-2"/>
                <c:y val="0.2985581902562181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cs-CZ"/>
                    <a:t>Počet</a:t>
                  </a:r>
                  <a:r>
                    <a:rPr lang="cs-CZ" baseline="0"/>
                    <a:t> uchazečů a VPM (v tis.)</a:t>
                  </a:r>
                  <a:endParaRPr lang="cs-CZ"/>
                </a:p>
              </c:rich>
            </c:tx>
          </c:dispUnitsLbl>
        </c:dispUnits>
      </c:valAx>
      <c:spPr>
        <a:ln>
          <a:solidFill>
            <a:schemeClr val="bg1">
              <a:lumMod val="8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3977367021618217"/>
          <c:y val="0.15187320938366747"/>
          <c:w val="0.39173292571707502"/>
          <c:h val="8.5687815024064515E-2"/>
        </c:manualLayout>
      </c:layout>
      <c:spPr>
        <a:solidFill>
          <a:schemeClr val="bg1"/>
        </a:solidFill>
        <a:ln>
          <a:noFill/>
        </a:ln>
      </c:spPr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Počet uchazečů o zaměstnání na 1 VPM</a:t>
            </a:r>
          </a:p>
          <a:p>
            <a:pPr>
              <a:defRPr/>
            </a:pPr>
            <a:r>
              <a:rPr lang="cs-CZ" sz="1200"/>
              <a:t>podle kategorií zaměstnání </a:t>
            </a:r>
          </a:p>
        </c:rich>
      </c:tx>
    </c:title>
    <c:plotArea>
      <c:layout>
        <c:manualLayout>
          <c:layoutTarget val="inner"/>
          <c:xMode val="edge"/>
          <c:yMode val="edge"/>
          <c:x val="0.1064328521434821"/>
          <c:y val="0.19480351414406533"/>
          <c:w val="0.86301159230096258"/>
          <c:h val="0.62293744531933515"/>
        </c:manualLayout>
      </c:layout>
      <c:barChart>
        <c:barDir val="col"/>
        <c:grouping val="clustered"/>
        <c:ser>
          <c:idx val="1"/>
          <c:order val="0"/>
          <c:tx>
            <c:strRef>
              <c:f>celkem!$AI$4</c:f>
              <c:strCache>
                <c:ptCount val="1"/>
                <c:pt idx="0">
                  <c:v>30.09.06</c:v>
                </c:pt>
              </c:strCache>
            </c:strRef>
          </c:tx>
          <c:dLbls>
            <c:numFmt formatCode="#,##0.0" sourceLinked="0"/>
            <c:txPr>
              <a:bodyPr/>
              <a:lstStyle/>
              <a:p>
                <a:pPr>
                  <a:defRPr sz="900"/>
                </a:pPr>
                <a:endParaRPr lang="cs-CZ"/>
              </a:p>
            </c:txPr>
            <c:showVal val="1"/>
          </c:dLbls>
          <c:cat>
            <c:strRef>
              <c:f>celkem!$A$176:$A$184</c:f>
              <c:strCache>
                <c:ptCount val="9"/>
                <c:pt idx="0">
                  <c:v>Zákonodárci a říd. prac.</c:v>
                </c:pt>
                <c:pt idx="1">
                  <c:v>Specialisté</c:v>
                </c:pt>
                <c:pt idx="2">
                  <c:v>Techn. a odb. pracovníci </c:v>
                </c:pt>
                <c:pt idx="3">
                  <c:v>Úředníci </c:v>
                </c:pt>
                <c:pt idx="4">
                  <c:v>Prac. ve službách a prodeji </c:v>
                </c:pt>
                <c:pt idx="5">
                  <c:v>Kval. dělníci v zemědělství</c:v>
                </c:pt>
                <c:pt idx="6">
                  <c:v>Řemeslníci a opraváři </c:v>
                </c:pt>
                <c:pt idx="7">
                  <c:v>Obsluha strojů a zařízení </c:v>
                </c:pt>
                <c:pt idx="8">
                  <c:v>Pomoc. a nekval. pracovníci</c:v>
                </c:pt>
              </c:strCache>
            </c:strRef>
          </c:cat>
          <c:val>
            <c:numRef>
              <c:f>celkem!$AI$176:$AI$184</c:f>
              <c:numCache>
                <c:formatCode>0.0</c:formatCode>
                <c:ptCount val="9"/>
                <c:pt idx="0">
                  <c:v>2.3316800991940467</c:v>
                </c:pt>
                <c:pt idx="1">
                  <c:v>3.5735638393661078</c:v>
                </c:pt>
                <c:pt idx="2">
                  <c:v>3.8918526583197228</c:v>
                </c:pt>
                <c:pt idx="3">
                  <c:v>9.9053603488073865</c:v>
                </c:pt>
                <c:pt idx="4">
                  <c:v>8.5656346395521563</c:v>
                </c:pt>
                <c:pt idx="5">
                  <c:v>5.6986425339366518</c:v>
                </c:pt>
                <c:pt idx="6">
                  <c:v>2.0823548079974619</c:v>
                </c:pt>
                <c:pt idx="7">
                  <c:v>1.7283307470627356</c:v>
                </c:pt>
                <c:pt idx="8">
                  <c:v>7.9992514970059894</c:v>
                </c:pt>
              </c:numCache>
            </c:numRef>
          </c:val>
        </c:ser>
        <c:ser>
          <c:idx val="0"/>
          <c:order val="1"/>
          <c:tx>
            <c:strRef>
              <c:f>celkem!$CG$4</c:f>
              <c:strCache>
                <c:ptCount val="1"/>
                <c:pt idx="0">
                  <c:v>30.09.15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1"/>
              <c:layout>
                <c:manualLayout>
                  <c:x val="0"/>
                  <c:y val="1.6750418760469017E-2"/>
                </c:manualLayout>
              </c:layout>
              <c:showVal val="1"/>
            </c:dLbl>
            <c:dLbl>
              <c:idx val="2"/>
              <c:layout>
                <c:manualLayout>
                  <c:x val="3.9299295921862437E-17"/>
                  <c:y val="1.005025125628140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010050251256288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6.7001675041876091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cs-CZ"/>
              </a:p>
            </c:txPr>
            <c:showVal val="1"/>
          </c:dLbls>
          <c:cat>
            <c:strRef>
              <c:f>celkem!$A$176:$A$184</c:f>
              <c:strCache>
                <c:ptCount val="9"/>
                <c:pt idx="0">
                  <c:v>Zákonodárci a říd. prac.</c:v>
                </c:pt>
                <c:pt idx="1">
                  <c:v>Specialisté</c:v>
                </c:pt>
                <c:pt idx="2">
                  <c:v>Techn. a odb. pracovníci </c:v>
                </c:pt>
                <c:pt idx="3">
                  <c:v>Úředníci </c:v>
                </c:pt>
                <c:pt idx="4">
                  <c:v>Prac. ve službách a prodeji </c:v>
                </c:pt>
                <c:pt idx="5">
                  <c:v>Kval. dělníci v zemědělství</c:v>
                </c:pt>
                <c:pt idx="6">
                  <c:v>Řemeslníci a opraváři </c:v>
                </c:pt>
                <c:pt idx="7">
                  <c:v>Obsluha strojů a zařízení </c:v>
                </c:pt>
                <c:pt idx="8">
                  <c:v>Pomoc. a nekval. pracovníci</c:v>
                </c:pt>
              </c:strCache>
            </c:strRef>
          </c:cat>
          <c:val>
            <c:numRef>
              <c:f>celkem!$CG$176:$CG$184</c:f>
              <c:numCache>
                <c:formatCode>0.0</c:formatCode>
                <c:ptCount val="9"/>
                <c:pt idx="0">
                  <c:v>4.1072891072891071</c:v>
                </c:pt>
                <c:pt idx="1">
                  <c:v>3.3278344750454356</c:v>
                </c:pt>
                <c:pt idx="2">
                  <c:v>3.1364033809385004</c:v>
                </c:pt>
                <c:pt idx="3">
                  <c:v>10.784466019417476</c:v>
                </c:pt>
                <c:pt idx="4">
                  <c:v>5.4584400068271037</c:v>
                </c:pt>
                <c:pt idx="5">
                  <c:v>7.1556683587140437</c:v>
                </c:pt>
                <c:pt idx="6">
                  <c:v>2.2832540804523851</c:v>
                </c:pt>
                <c:pt idx="7">
                  <c:v>1.6492166602980511</c:v>
                </c:pt>
                <c:pt idx="8">
                  <c:v>6.1480065259508505</c:v>
                </c:pt>
              </c:numCache>
            </c:numRef>
          </c:val>
        </c:ser>
        <c:gapWidth val="68"/>
        <c:axId val="15108352"/>
        <c:axId val="15151104"/>
      </c:barChart>
      <c:catAx>
        <c:axId val="151083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151104"/>
        <c:crosses val="autoZero"/>
        <c:auto val="1"/>
        <c:lblAlgn val="ctr"/>
        <c:lblOffset val="100"/>
        <c:tickLblSkip val="1"/>
      </c:catAx>
      <c:valAx>
        <c:axId val="1515110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5108352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b"/>
      <c:layout>
        <c:manualLayout>
          <c:xMode val="edge"/>
          <c:yMode val="edge"/>
          <c:x val="0.618124314016402"/>
          <c:y val="0.22269905960247433"/>
          <c:w val="0.2690052409043725"/>
          <c:h val="6.0579274324377798E-2"/>
        </c:manualLayout>
      </c:layout>
      <c:txPr>
        <a:bodyPr/>
        <a:lstStyle/>
        <a:p>
          <a:pPr>
            <a:defRPr b="1"/>
          </a:pPr>
          <a:endParaRPr lang="cs-CZ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6832</Words>
  <Characters>40310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dcterms:created xsi:type="dcterms:W3CDTF">2015-12-07T12:42:00Z</dcterms:created>
  <dcterms:modified xsi:type="dcterms:W3CDTF">2015-12-07T12:42:00Z</dcterms:modified>
</cp:coreProperties>
</file>